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BB1" w:rsidRDefault="00DF4B03">
      <w:pPr>
        <w:spacing w:after="200"/>
        <w:jc w:val="center"/>
        <w:rPr>
          <w:rFonts w:ascii="Century Gothic" w:eastAsia="Century Gothic" w:hAnsi="Century Gothic" w:cs="Century Gothic"/>
        </w:rPr>
      </w:pPr>
      <w:r>
        <w:rPr>
          <w:rFonts w:ascii="Century Gothic" w:eastAsia="Century Gothic" w:hAnsi="Century Gothic" w:cs="Century Gothic"/>
          <w:b/>
        </w:rPr>
        <w:t>INFORME DE PONENCIA PARA PRIMER DEBATE DEL PROYECTO DE ACTO LEGISLATIVO NÚMERO 242 DE 2019 CÁMARA</w:t>
      </w:r>
    </w:p>
    <w:p w:rsidR="000B7BB1" w:rsidRDefault="000B7BB1">
      <w:pPr>
        <w:spacing w:after="200"/>
        <w:rPr>
          <w:rFonts w:ascii="Century Gothic" w:eastAsia="Century Gothic" w:hAnsi="Century Gothic" w:cs="Century Gothic"/>
        </w:rPr>
      </w:pPr>
    </w:p>
    <w:p w:rsidR="000B7BB1" w:rsidRDefault="00DF4B03">
      <w:pPr>
        <w:rPr>
          <w:rFonts w:ascii="Century Gothic" w:eastAsia="Century Gothic" w:hAnsi="Century Gothic" w:cs="Century Gothic"/>
        </w:rPr>
      </w:pPr>
      <w:bookmarkStart w:id="0" w:name="_heading=h.gjdgxs" w:colFirst="0" w:colLast="0"/>
      <w:bookmarkEnd w:id="0"/>
      <w:r>
        <w:rPr>
          <w:rFonts w:ascii="Century Gothic" w:eastAsia="Century Gothic" w:hAnsi="Century Gothic" w:cs="Century Gothic"/>
        </w:rPr>
        <w:t>Bogotá, D. C., 29 octubre de 2019</w:t>
      </w:r>
    </w:p>
    <w:p w:rsidR="000B7BB1" w:rsidRDefault="00DF4B03">
      <w:pPr>
        <w:rPr>
          <w:rFonts w:ascii="Century Gothic" w:eastAsia="Century Gothic" w:hAnsi="Century Gothic" w:cs="Century Gothic"/>
        </w:rPr>
      </w:pPr>
      <w:r>
        <w:rPr>
          <w:rFonts w:ascii="Century Gothic" w:eastAsia="Century Gothic" w:hAnsi="Century Gothic" w:cs="Century Gothic"/>
        </w:rPr>
        <w:t>Presidente</w:t>
      </w:r>
    </w:p>
    <w:p w:rsidR="000B7BB1" w:rsidRDefault="00DF4B03">
      <w:pPr>
        <w:rPr>
          <w:rFonts w:ascii="Century Gothic" w:eastAsia="Century Gothic" w:hAnsi="Century Gothic" w:cs="Century Gothic"/>
          <w:b/>
        </w:rPr>
      </w:pPr>
      <w:r>
        <w:rPr>
          <w:rFonts w:ascii="Century Gothic" w:eastAsia="Century Gothic" w:hAnsi="Century Gothic" w:cs="Century Gothic"/>
          <w:b/>
        </w:rPr>
        <w:t>JUAN CARLOS LOZADA VARGAS</w:t>
      </w:r>
    </w:p>
    <w:p w:rsidR="000B7BB1" w:rsidRDefault="00DF4B03">
      <w:pPr>
        <w:rPr>
          <w:rFonts w:ascii="Century Gothic" w:eastAsia="Century Gothic" w:hAnsi="Century Gothic" w:cs="Century Gothic"/>
        </w:rPr>
      </w:pPr>
      <w:r>
        <w:rPr>
          <w:rFonts w:ascii="Century Gothic" w:eastAsia="Century Gothic" w:hAnsi="Century Gothic" w:cs="Century Gothic"/>
        </w:rPr>
        <w:t xml:space="preserve">Comisión Primera Constitucional Permanente </w:t>
      </w:r>
    </w:p>
    <w:p w:rsidR="000B7BB1" w:rsidRDefault="00DF4B03">
      <w:pPr>
        <w:rPr>
          <w:rFonts w:ascii="Century Gothic" w:eastAsia="Century Gothic" w:hAnsi="Century Gothic" w:cs="Century Gothic"/>
          <w:b/>
        </w:rPr>
      </w:pPr>
      <w:r>
        <w:rPr>
          <w:rFonts w:ascii="Century Gothic" w:eastAsia="Century Gothic" w:hAnsi="Century Gothic" w:cs="Century Gothic"/>
        </w:rPr>
        <w:t>Cámara de Representantes</w:t>
      </w:r>
    </w:p>
    <w:p w:rsidR="00543786" w:rsidRDefault="00543786">
      <w:pPr>
        <w:spacing w:before="280" w:after="200"/>
        <w:jc w:val="both"/>
        <w:rPr>
          <w:rFonts w:ascii="Century Gothic" w:eastAsia="Century Gothic" w:hAnsi="Century Gothic" w:cs="Century Gothic"/>
          <w:b/>
        </w:rPr>
      </w:pPr>
    </w:p>
    <w:p w:rsidR="00543786" w:rsidRDefault="00543786">
      <w:pPr>
        <w:spacing w:before="280" w:after="200"/>
        <w:jc w:val="both"/>
        <w:rPr>
          <w:rFonts w:ascii="Century Gothic" w:eastAsia="Century Gothic" w:hAnsi="Century Gothic" w:cs="Century Gothic"/>
          <w:b/>
        </w:rPr>
      </w:pPr>
    </w:p>
    <w:p w:rsidR="000B7BB1" w:rsidRDefault="00DF4B03">
      <w:pPr>
        <w:spacing w:before="280" w:after="200"/>
        <w:ind w:left="2844" w:hanging="2124"/>
        <w:jc w:val="both"/>
        <w:rPr>
          <w:rFonts w:ascii="Arial" w:eastAsia="Arial" w:hAnsi="Arial" w:cs="Arial"/>
          <w:b/>
          <w:i/>
        </w:rPr>
      </w:pPr>
      <w:r>
        <w:rPr>
          <w:rFonts w:ascii="Century Gothic" w:eastAsia="Century Gothic" w:hAnsi="Century Gothic" w:cs="Century Gothic"/>
          <w:b/>
        </w:rPr>
        <w:t xml:space="preserve">REFERENCIA: Informe de ponencia para primer debate del Proyecto de Acto Legislativo número 242 de 2019 Cámara, </w:t>
      </w:r>
      <w:r>
        <w:rPr>
          <w:rFonts w:ascii="Century Gothic" w:eastAsia="Century Gothic" w:hAnsi="Century Gothic" w:cs="Century Gothic"/>
          <w:i/>
        </w:rPr>
        <w:t>“Por el cual se modifican los artículos 328 y 356 de la constitución política otorgándole la categoría de Distrito Turístico, Cultural e Histórico al municipio de Puerto Colombia en el Departamento del Atlántico.”</w:t>
      </w:r>
    </w:p>
    <w:p w:rsidR="00543786" w:rsidRDefault="00543786">
      <w:pPr>
        <w:spacing w:before="280" w:after="200"/>
        <w:jc w:val="both"/>
        <w:rPr>
          <w:rFonts w:ascii="Century Gothic" w:eastAsia="Century Gothic" w:hAnsi="Century Gothic" w:cs="Century Gothic"/>
          <w:b/>
        </w:rPr>
      </w:pPr>
    </w:p>
    <w:p w:rsidR="000B7BB1" w:rsidRDefault="00DF4B03">
      <w:pPr>
        <w:spacing w:before="280" w:after="200"/>
        <w:rPr>
          <w:rFonts w:ascii="Century Gothic" w:eastAsia="Century Gothic" w:hAnsi="Century Gothic" w:cs="Century Gothic"/>
        </w:rPr>
      </w:pPr>
      <w:r>
        <w:rPr>
          <w:rFonts w:ascii="Century Gothic" w:eastAsia="Century Gothic" w:hAnsi="Century Gothic" w:cs="Century Gothic"/>
        </w:rPr>
        <w:t xml:space="preserve">Respetado Presidente: </w:t>
      </w:r>
    </w:p>
    <w:p w:rsidR="000B7BB1" w:rsidRPr="00543786" w:rsidRDefault="00DF4B03" w:rsidP="00543786">
      <w:pPr>
        <w:spacing w:before="280" w:after="200"/>
        <w:jc w:val="both"/>
        <w:rPr>
          <w:rFonts w:ascii="Century Gothic" w:eastAsia="Century Gothic" w:hAnsi="Century Gothic" w:cs="Century Gothic"/>
          <w:i/>
        </w:rPr>
      </w:pPr>
      <w:r>
        <w:rPr>
          <w:rFonts w:ascii="Century Gothic" w:eastAsia="Century Gothic" w:hAnsi="Century Gothic" w:cs="Century Gothic"/>
        </w:rPr>
        <w:t>En cumplimiento de la designación hecha por la Mesa Directiva de la Comisión Primera Constitucional de la Cámara de Representantes y de acuerdo con las disposiciones contenidas en la Ley 5a de 1992, me permito rendir informe de ponencia para primer debate de la Cámara de Representantes.</w:t>
      </w:r>
    </w:p>
    <w:p w:rsidR="000B7BB1" w:rsidRDefault="00DF4B03">
      <w:pPr>
        <w:pBdr>
          <w:top w:val="nil"/>
          <w:left w:val="nil"/>
          <w:bottom w:val="nil"/>
          <w:right w:val="nil"/>
          <w:between w:val="nil"/>
        </w:pBdr>
        <w:spacing w:after="200"/>
        <w:rPr>
          <w:rFonts w:ascii="Century Gothic" w:eastAsia="Century Gothic" w:hAnsi="Century Gothic" w:cs="Century Gothic"/>
          <w:b/>
          <w:color w:val="000000"/>
        </w:rPr>
      </w:pPr>
      <w:r>
        <w:rPr>
          <w:rFonts w:ascii="Century Gothic" w:eastAsia="Century Gothic" w:hAnsi="Century Gothic" w:cs="Century Gothic"/>
          <w:b/>
          <w:color w:val="000000"/>
        </w:rPr>
        <w:t>I. ANTECEDENTES LEGISLATIVOS DEL PROYECTO</w:t>
      </w:r>
    </w:p>
    <w:p w:rsidR="000B7BB1" w:rsidRDefault="00DF4B03">
      <w:pPr>
        <w:spacing w:before="240" w:after="240"/>
        <w:jc w:val="both"/>
        <w:rPr>
          <w:rFonts w:ascii="Century Gothic" w:eastAsia="Century Gothic" w:hAnsi="Century Gothic" w:cs="Century Gothic"/>
        </w:rPr>
      </w:pPr>
      <w:r>
        <w:rPr>
          <w:rFonts w:ascii="Century Gothic" w:eastAsia="Century Gothic" w:hAnsi="Century Gothic" w:cs="Century Gothic"/>
        </w:rPr>
        <w:t xml:space="preserve">El Proyecto de Acto Legislativo Nº 242 de 2019 Cámara, por el cual mediante la Constitución Política se le otorga la categoría de Distrito Turístico, Cultural e Histórico al municipio de Puerto Colombia en el Departamento del </w:t>
      </w:r>
      <w:r>
        <w:rPr>
          <w:rFonts w:ascii="Century Gothic" w:eastAsia="Century Gothic" w:hAnsi="Century Gothic" w:cs="Century Gothic"/>
        </w:rPr>
        <w:lastRenderedPageBreak/>
        <w:t xml:space="preserve">Atlántico; fue radicado el 18 de septiembre de 2019, por iniciativa de los Honorables Representantes, Martha Patricia Villalba </w:t>
      </w:r>
      <w:proofErr w:type="spellStart"/>
      <w:r>
        <w:rPr>
          <w:rFonts w:ascii="Century Gothic" w:eastAsia="Century Gothic" w:hAnsi="Century Gothic" w:cs="Century Gothic"/>
        </w:rPr>
        <w:t>Hodwalker</w:t>
      </w:r>
      <w:proofErr w:type="spellEnd"/>
      <w:r>
        <w:rPr>
          <w:rFonts w:ascii="Century Gothic" w:eastAsia="Century Gothic" w:hAnsi="Century Gothic" w:cs="Century Gothic"/>
        </w:rPr>
        <w:t xml:space="preserve">, Carlos Germán Navas Talero, Mónica María </w:t>
      </w:r>
      <w:proofErr w:type="spellStart"/>
      <w:r>
        <w:rPr>
          <w:rFonts w:ascii="Century Gothic" w:eastAsia="Century Gothic" w:hAnsi="Century Gothic" w:cs="Century Gothic"/>
        </w:rPr>
        <w:t>Raigoza</w:t>
      </w:r>
      <w:proofErr w:type="spellEnd"/>
      <w:r>
        <w:rPr>
          <w:rFonts w:ascii="Century Gothic" w:eastAsia="Century Gothic" w:hAnsi="Century Gothic" w:cs="Century Gothic"/>
        </w:rPr>
        <w:t xml:space="preserve"> Morales, Jorge Eliecer Tamayo Marulanda, Jaime Armando Yepes Martínez, Jorge Enrique Burgos Lugo, </w:t>
      </w:r>
      <w:proofErr w:type="spellStart"/>
      <w:r>
        <w:rPr>
          <w:rFonts w:ascii="Century Gothic" w:eastAsia="Century Gothic" w:hAnsi="Century Gothic" w:cs="Century Gothic"/>
        </w:rPr>
        <w:t>Milene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Jarava</w:t>
      </w:r>
      <w:proofErr w:type="spellEnd"/>
      <w:r>
        <w:rPr>
          <w:rFonts w:ascii="Century Gothic" w:eastAsia="Century Gothic" w:hAnsi="Century Gothic" w:cs="Century Gothic"/>
        </w:rPr>
        <w:t xml:space="preserve"> Díaz, Juan Manuel Daza Iguarán, José </w:t>
      </w:r>
      <w:proofErr w:type="spellStart"/>
      <w:r>
        <w:rPr>
          <w:rFonts w:ascii="Century Gothic" w:eastAsia="Century Gothic" w:hAnsi="Century Gothic" w:cs="Century Gothic"/>
        </w:rPr>
        <w:t>Elver</w:t>
      </w:r>
      <w:proofErr w:type="spellEnd"/>
      <w:r>
        <w:rPr>
          <w:rFonts w:ascii="Century Gothic" w:eastAsia="Century Gothic" w:hAnsi="Century Gothic" w:cs="Century Gothic"/>
        </w:rPr>
        <w:t xml:space="preserve"> Hernández Casa, </w:t>
      </w:r>
      <w:proofErr w:type="spellStart"/>
      <w:r>
        <w:rPr>
          <w:rFonts w:ascii="Century Gothic" w:eastAsia="Century Gothic" w:hAnsi="Century Gothic" w:cs="Century Gothic"/>
        </w:rPr>
        <w:t>Jezmi</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Lizeth</w:t>
      </w:r>
      <w:proofErr w:type="spellEnd"/>
      <w:r>
        <w:rPr>
          <w:rFonts w:ascii="Century Gothic" w:eastAsia="Century Gothic" w:hAnsi="Century Gothic" w:cs="Century Gothic"/>
        </w:rPr>
        <w:t xml:space="preserve"> Barraza </w:t>
      </w:r>
      <w:proofErr w:type="spellStart"/>
      <w:r>
        <w:rPr>
          <w:rFonts w:ascii="Century Gothic" w:eastAsia="Century Gothic" w:hAnsi="Century Gothic" w:cs="Century Gothic"/>
        </w:rPr>
        <w:t>Arraut</w:t>
      </w:r>
      <w:proofErr w:type="spellEnd"/>
      <w:r>
        <w:rPr>
          <w:rFonts w:ascii="Century Gothic" w:eastAsia="Century Gothic" w:hAnsi="Century Gothic" w:cs="Century Gothic"/>
        </w:rPr>
        <w:t xml:space="preserve">, Wilmer Carrillo Mendoza, Armando Antonio </w:t>
      </w:r>
      <w:proofErr w:type="spellStart"/>
      <w:r>
        <w:rPr>
          <w:rFonts w:ascii="Century Gothic" w:eastAsia="Century Gothic" w:hAnsi="Century Gothic" w:cs="Century Gothic"/>
        </w:rPr>
        <w:t>Zabarain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D'Arce</w:t>
      </w:r>
      <w:proofErr w:type="spellEnd"/>
      <w:r>
        <w:rPr>
          <w:rFonts w:ascii="Century Gothic" w:eastAsia="Century Gothic" w:hAnsi="Century Gothic" w:cs="Century Gothic"/>
        </w:rPr>
        <w:t xml:space="preserve">, José Gabriel Amar Sepúlveda y los Honorables Senadores, Armando Alberto Benedetti </w:t>
      </w:r>
      <w:proofErr w:type="spellStart"/>
      <w:r>
        <w:rPr>
          <w:rFonts w:ascii="Century Gothic" w:eastAsia="Century Gothic" w:hAnsi="Century Gothic" w:cs="Century Gothic"/>
        </w:rPr>
        <w:t>Villaneda</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Roosvelt</w:t>
      </w:r>
      <w:proofErr w:type="spellEnd"/>
      <w:r>
        <w:rPr>
          <w:rFonts w:ascii="Century Gothic" w:eastAsia="Century Gothic" w:hAnsi="Century Gothic" w:cs="Century Gothic"/>
        </w:rPr>
        <w:t xml:space="preserve"> Rodríguez Rengifo. </w:t>
      </w:r>
    </w:p>
    <w:p w:rsidR="000B7BB1" w:rsidRDefault="00DF4B03">
      <w:pPr>
        <w:spacing w:before="240" w:after="240"/>
        <w:jc w:val="both"/>
        <w:rPr>
          <w:rFonts w:ascii="Century Gothic" w:eastAsia="Century Gothic" w:hAnsi="Century Gothic" w:cs="Century Gothic"/>
        </w:rPr>
      </w:pPr>
      <w:r>
        <w:rPr>
          <w:rFonts w:ascii="Century Gothic" w:eastAsia="Century Gothic" w:hAnsi="Century Gothic" w:cs="Century Gothic"/>
        </w:rPr>
        <w:t xml:space="preserve">El proyecto de acto legislativo fue publicado en la Gaceta del Congreso número 906 de 2019 y recibido en la Comisión Primera Constitucional de Cámara el 08 de octubre de 2019 para su estudio correspondiente, de conformidad con la Ley 5 de 1992. </w:t>
      </w:r>
    </w:p>
    <w:p w:rsidR="000B7BB1" w:rsidRDefault="00DF4B03">
      <w:pPr>
        <w:spacing w:before="240" w:after="240"/>
        <w:jc w:val="both"/>
        <w:rPr>
          <w:rFonts w:ascii="Century Gothic" w:eastAsia="Century Gothic" w:hAnsi="Century Gothic" w:cs="Century Gothic"/>
        </w:rPr>
      </w:pPr>
      <w:r>
        <w:rPr>
          <w:rFonts w:ascii="Century Gothic" w:eastAsia="Century Gothic" w:hAnsi="Century Gothic" w:cs="Century Gothic"/>
        </w:rPr>
        <w:t xml:space="preserve">La Mesa Directiva de la Comisión Primera de la Cámara mediante Acta Nº 015 del 16 de octubre de 2019 designó como </w:t>
      </w:r>
      <w:r w:rsidR="003A694C">
        <w:rPr>
          <w:rFonts w:ascii="Century Gothic" w:eastAsia="Century Gothic" w:hAnsi="Century Gothic" w:cs="Century Gothic"/>
        </w:rPr>
        <w:t>ponente único</w:t>
      </w:r>
      <w:r>
        <w:rPr>
          <w:rFonts w:ascii="Century Gothic" w:eastAsia="Century Gothic" w:hAnsi="Century Gothic" w:cs="Century Gothic"/>
        </w:rPr>
        <w:t xml:space="preserve"> para primer debate al Honorable Representante por Bogotá D.C., Juan Manuel Daza Iguarán del partido Centro Democrático.</w:t>
      </w:r>
    </w:p>
    <w:p w:rsidR="000B7BB1" w:rsidRDefault="00DF4B03">
      <w:pPr>
        <w:pBdr>
          <w:top w:val="nil"/>
          <w:left w:val="nil"/>
          <w:bottom w:val="nil"/>
          <w:right w:val="nil"/>
          <w:between w:val="nil"/>
        </w:pBdr>
        <w:spacing w:after="200"/>
        <w:rPr>
          <w:rFonts w:ascii="Century Gothic" w:eastAsia="Century Gothic" w:hAnsi="Century Gothic" w:cs="Century Gothic"/>
          <w:b/>
          <w:color w:val="000000"/>
        </w:rPr>
      </w:pPr>
      <w:r>
        <w:rPr>
          <w:rFonts w:ascii="Century Gothic" w:eastAsia="Century Gothic" w:hAnsi="Century Gothic" w:cs="Century Gothic"/>
          <w:b/>
          <w:color w:val="000000"/>
        </w:rPr>
        <w:t>II. OBJETO DEL PROYECTO DE LEY</w:t>
      </w:r>
    </w:p>
    <w:p w:rsidR="000B7BB1" w:rsidRDefault="00DF4B03">
      <w:pPr>
        <w:jc w:val="both"/>
        <w:rPr>
          <w:rFonts w:ascii="Century Gothic" w:eastAsia="Century Gothic" w:hAnsi="Century Gothic" w:cs="Century Gothic"/>
        </w:rPr>
      </w:pPr>
      <w:r>
        <w:rPr>
          <w:rFonts w:ascii="Century Gothic" w:eastAsia="Century Gothic" w:hAnsi="Century Gothic" w:cs="Century Gothic"/>
        </w:rPr>
        <w:t>El presente proyecto de Acto Legislativo tiene como objeto, otorgar al municipio de Puerto Colombia, Atlántico, la categoría de Distrito Turístico, Cultural e Histórico, modificando los artículos 328 y 356 de la constitución Política de Colombia.</w:t>
      </w:r>
    </w:p>
    <w:p w:rsidR="000B7BB1" w:rsidRDefault="000B7BB1">
      <w:pPr>
        <w:jc w:val="both"/>
        <w:rPr>
          <w:rFonts w:ascii="Century Gothic" w:eastAsia="Century Gothic" w:hAnsi="Century Gothic" w:cs="Century Gothic"/>
        </w:rPr>
      </w:pPr>
    </w:p>
    <w:p w:rsidR="000B7BB1" w:rsidRDefault="00DF4B03">
      <w:pPr>
        <w:jc w:val="both"/>
        <w:rPr>
          <w:rFonts w:ascii="Arial" w:eastAsia="Arial" w:hAnsi="Arial" w:cs="Arial"/>
        </w:rPr>
      </w:pPr>
      <w:r>
        <w:rPr>
          <w:rFonts w:ascii="Century Gothic" w:eastAsia="Century Gothic" w:hAnsi="Century Gothic" w:cs="Century Gothic"/>
        </w:rPr>
        <w:t xml:space="preserve">en virtud al artículo 114 Superior, respondiendo a la necesidad plasmada por los autores del proyecto en la cual sustenta el innegable pasado como núcleo de desarrollo portuario y comercial, que precisamente por esto la importancia que a futuro tendrá para el país y en especial para el departamento del Atlántico, la región de la costa norte, y en particular el municipio de Puerto Colombia con su potencial turístico, cultural e histórico, su conexión costera y una rica historia cultural y artística que hace de este territorio uno de los municipios colombianos con mayor proyección en la dinámica de las relaciones interculturales como lo demuestra su historia, circunstancia que sin duda garantizará la gestión de planificación, regulación y transformación de la Administración Municipal. </w:t>
      </w:r>
    </w:p>
    <w:p w:rsidR="000B7BB1" w:rsidRDefault="000B7BB1">
      <w:pPr>
        <w:jc w:val="both"/>
        <w:rPr>
          <w:rFonts w:ascii="Arial" w:eastAsia="Arial" w:hAnsi="Arial" w:cs="Arial"/>
        </w:rPr>
      </w:pPr>
    </w:p>
    <w:p w:rsidR="000B7BB1" w:rsidRDefault="00DF4B03">
      <w:pPr>
        <w:pBdr>
          <w:top w:val="nil"/>
          <w:left w:val="nil"/>
          <w:bottom w:val="nil"/>
          <w:right w:val="nil"/>
          <w:between w:val="nil"/>
        </w:pBdr>
        <w:spacing w:after="200"/>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III. ESTRUCTURA DEL PROYECTO DE LEY</w:t>
      </w:r>
    </w:p>
    <w:p w:rsidR="00543786" w:rsidRDefault="00543786" w:rsidP="00543786">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presente proyecto de Acto Legislativo cuenta con tres artículos, en los cuales se presentan modificaciones a dos artículos de la Constitución Política de Colombia. </w:t>
      </w:r>
    </w:p>
    <w:p w:rsidR="00543786" w:rsidRPr="00C020C0" w:rsidRDefault="00543786" w:rsidP="00543786">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primer artículo del proyecto adiciona un inciso al artículo </w:t>
      </w:r>
      <w:r w:rsidR="00302A33">
        <w:rPr>
          <w:rFonts w:ascii="Century Gothic" w:eastAsia="Century Gothic" w:hAnsi="Century Gothic" w:cs="Century Gothic"/>
          <w:color w:val="000000"/>
        </w:rPr>
        <w:t>328</w:t>
      </w:r>
      <w:r>
        <w:rPr>
          <w:rFonts w:ascii="Century Gothic" w:eastAsia="Century Gothic" w:hAnsi="Century Gothic" w:cs="Century Gothic"/>
          <w:color w:val="000000"/>
        </w:rPr>
        <w:t xml:space="preserve"> de la Constitución Política, donde se </w:t>
      </w:r>
      <w:r w:rsidR="00083446">
        <w:rPr>
          <w:rFonts w:ascii="Century Gothic" w:eastAsia="Century Gothic" w:hAnsi="Century Gothic" w:cs="Century Gothic"/>
          <w:color w:val="000000"/>
        </w:rPr>
        <w:t>adiciona al municipio de Puerto Colombia como Distrito Turístico, Cultural e Histórico</w:t>
      </w:r>
      <w:r w:rsidR="00157888">
        <w:rPr>
          <w:rFonts w:ascii="Century Gothic" w:eastAsia="Century Gothic" w:hAnsi="Century Gothic" w:cs="Century Gothic"/>
          <w:color w:val="000000"/>
        </w:rPr>
        <w:t xml:space="preserve">. Por su parte, el segundo artículo </w:t>
      </w:r>
      <w:r w:rsidR="00C020C0">
        <w:rPr>
          <w:rFonts w:ascii="Century Gothic" w:eastAsia="Century Gothic" w:hAnsi="Century Gothic" w:cs="Century Gothic"/>
          <w:color w:val="000000"/>
        </w:rPr>
        <w:t>modifica el artículo 356 de la Constitución Política</w:t>
      </w:r>
      <w:r w:rsidR="00083446">
        <w:rPr>
          <w:rFonts w:ascii="Century Gothic" w:eastAsia="Century Gothic" w:hAnsi="Century Gothic" w:cs="Century Gothic"/>
          <w:color w:val="000000"/>
        </w:rPr>
        <w:t xml:space="preserve"> </w:t>
      </w:r>
      <w:r w:rsidR="00C020C0">
        <w:rPr>
          <w:rFonts w:ascii="Century Gothic" w:eastAsia="Century Gothic" w:hAnsi="Century Gothic" w:cs="Century Gothic"/>
          <w:color w:val="000000"/>
        </w:rPr>
        <w:t xml:space="preserve">donde se establece </w:t>
      </w:r>
      <w:bookmarkStart w:id="1" w:name="_GoBack"/>
      <w:bookmarkEnd w:id="1"/>
      <w:r w:rsidR="00083446">
        <w:rPr>
          <w:rFonts w:ascii="Century Gothic" w:eastAsia="Century Gothic" w:hAnsi="Century Gothic" w:cs="Century Gothic"/>
          <w:color w:val="000000"/>
        </w:rPr>
        <w:t>que el municipio de Puerto Colombia, se organiza como Distrito Especial Turístico, Cultural e Histórico y su régimen será el determinado por la Constitución y las leyes especiales vigentes</w:t>
      </w:r>
      <w:r w:rsidR="00157888">
        <w:rPr>
          <w:rFonts w:ascii="Century Gothic" w:eastAsia="Century Gothic" w:hAnsi="Century Gothic" w:cs="Century Gothic"/>
          <w:color w:val="000000"/>
        </w:rPr>
        <w:t xml:space="preserve">. Finalmente, el artículo tercero del proyecto establece la vigencia del Acto Legislativo a partir de su promulgación. </w:t>
      </w:r>
    </w:p>
    <w:p w:rsidR="00543786" w:rsidRDefault="00DF4B03">
      <w:pPr>
        <w:pBdr>
          <w:top w:val="nil"/>
          <w:left w:val="nil"/>
          <w:bottom w:val="nil"/>
          <w:right w:val="nil"/>
          <w:between w:val="nil"/>
        </w:pBdr>
        <w:spacing w:after="200"/>
        <w:rPr>
          <w:rFonts w:ascii="Century Gothic" w:eastAsia="Century Gothic" w:hAnsi="Century Gothic" w:cs="Century Gothic"/>
          <w:b/>
          <w:color w:val="000000"/>
        </w:rPr>
      </w:pPr>
      <w:r>
        <w:rPr>
          <w:rFonts w:ascii="Century Gothic" w:eastAsia="Century Gothic" w:hAnsi="Century Gothic" w:cs="Century Gothic"/>
          <w:b/>
          <w:color w:val="000000"/>
        </w:rPr>
        <w:t>IV. CONSIDERACIONES</w:t>
      </w:r>
    </w:p>
    <w:p w:rsidR="000B7BB1" w:rsidRDefault="00DF4B03">
      <w:pPr>
        <w:numPr>
          <w:ilvl w:val="0"/>
          <w:numId w:val="2"/>
        </w:numPr>
        <w:pBdr>
          <w:top w:val="nil"/>
          <w:left w:val="nil"/>
          <w:bottom w:val="nil"/>
          <w:right w:val="nil"/>
          <w:between w:val="nil"/>
        </w:pBdr>
        <w:spacing w:after="200"/>
        <w:rPr>
          <w:rFonts w:ascii="Century Gothic" w:eastAsia="Century Gothic" w:hAnsi="Century Gothic" w:cs="Century Gothic"/>
        </w:rPr>
      </w:pPr>
      <w:r>
        <w:rPr>
          <w:rFonts w:ascii="Century Gothic" w:eastAsia="Century Gothic" w:hAnsi="Century Gothic" w:cs="Century Gothic"/>
          <w:b/>
        </w:rPr>
        <w:t>CONVENIENCIA DE LA INICIATIVA</w:t>
      </w:r>
    </w:p>
    <w:p w:rsidR="000B7BB1" w:rsidRDefault="00DF4B03">
      <w:pPr>
        <w:pBdr>
          <w:top w:val="nil"/>
          <w:left w:val="nil"/>
          <w:bottom w:val="nil"/>
          <w:right w:val="nil"/>
          <w:between w:val="nil"/>
        </w:pBdr>
        <w:spacing w:after="200"/>
        <w:jc w:val="both"/>
        <w:rPr>
          <w:rFonts w:ascii="Century Gothic" w:eastAsia="Century Gothic" w:hAnsi="Century Gothic" w:cs="Century Gothic"/>
        </w:rPr>
      </w:pPr>
      <w:r>
        <w:rPr>
          <w:rFonts w:ascii="Century Gothic" w:eastAsia="Century Gothic" w:hAnsi="Century Gothic" w:cs="Century Gothic"/>
        </w:rPr>
        <w:t xml:space="preserve">Puerto Colombia se encuentra localizado al noroccidente de Departamento del Atlántico, haciendo parte del Área Metropolitana del Distrito de Barranquilla. El municipio de Puerto Colombia es un territorio histórico y geográficamente privilegiado, el cual fue participe de grandes acontecimientos que dieron origen al progreso colombiano en el periodo postcolonial. </w:t>
      </w:r>
    </w:p>
    <w:p w:rsidR="000B7BB1" w:rsidRDefault="00DF4B03">
      <w:pPr>
        <w:pBdr>
          <w:top w:val="nil"/>
          <w:left w:val="nil"/>
          <w:bottom w:val="nil"/>
          <w:right w:val="nil"/>
          <w:between w:val="nil"/>
        </w:pBdr>
        <w:spacing w:after="200"/>
        <w:jc w:val="both"/>
        <w:rPr>
          <w:rFonts w:ascii="Century Gothic" w:eastAsia="Century Gothic" w:hAnsi="Century Gothic" w:cs="Century Gothic"/>
        </w:rPr>
      </w:pPr>
      <w:r>
        <w:rPr>
          <w:rFonts w:ascii="Century Gothic" w:eastAsia="Century Gothic" w:hAnsi="Century Gothic" w:cs="Century Gothic"/>
        </w:rPr>
        <w:t xml:space="preserve">La geografía del municipio se caracteriza por ser un territorio plano y cálido, que posee de múltiples ciénagas, dentro de las cuales se destaca Los Manatíes, Aguadulce, El Rincón, El Salado y Balboa. Tradicionalmente, debido a sus corrientes de agua y afluentes, es un sitio turístico de interés dado los múltiples balnearios y playas sobre el Mar Caribe. Los monumentos históricos más relevantes son el Castillo de Salgar, el Centenario Muelle, el Santuario Mariano de Nuestra Señora del Carmen y la Estación del Ferrocarril. </w:t>
      </w:r>
    </w:p>
    <w:p w:rsidR="000B7BB1" w:rsidRDefault="00DF4B03">
      <w:pPr>
        <w:pBdr>
          <w:top w:val="nil"/>
          <w:left w:val="nil"/>
          <w:bottom w:val="nil"/>
          <w:right w:val="nil"/>
          <w:between w:val="nil"/>
        </w:pBdr>
        <w:spacing w:after="200"/>
        <w:jc w:val="both"/>
        <w:rPr>
          <w:rFonts w:ascii="Century Gothic" w:eastAsia="Century Gothic" w:hAnsi="Century Gothic" w:cs="Century Gothic"/>
        </w:rPr>
      </w:pPr>
      <w:r>
        <w:rPr>
          <w:rFonts w:ascii="Century Gothic" w:eastAsia="Century Gothic" w:hAnsi="Century Gothic" w:cs="Century Gothic"/>
        </w:rPr>
        <w:t xml:space="preserve">Puerto Colombia se caracterizó por muchos años por el </w:t>
      </w:r>
      <w:r>
        <w:rPr>
          <w:rFonts w:ascii="Century Gothic" w:eastAsia="Century Gothic" w:hAnsi="Century Gothic" w:cs="Century Gothic"/>
          <w:b/>
        </w:rPr>
        <w:t>muelle de Puerto Colombia</w:t>
      </w:r>
      <w:r>
        <w:rPr>
          <w:rFonts w:ascii="Century Gothic" w:eastAsia="Century Gothic" w:hAnsi="Century Gothic" w:cs="Century Gothic"/>
        </w:rPr>
        <w:t xml:space="preserve"> el cual fue una estructura ubicada en el municipio entre 1893 y 1936, el cual funcionó como terminal marítimo de Barranquilla para el embarque y desembarque de mercancías y personas. A partir de la </w:t>
      </w:r>
      <w:r>
        <w:rPr>
          <w:rFonts w:ascii="Century Gothic" w:eastAsia="Century Gothic" w:hAnsi="Century Gothic" w:cs="Century Gothic"/>
        </w:rPr>
        <w:lastRenderedPageBreak/>
        <w:t xml:space="preserve">separación de Panamá y hasta los años 1920 fue considerado el puerto marítimo más importante de Colombia. </w:t>
      </w:r>
    </w:p>
    <w:p w:rsidR="000B7BB1" w:rsidRDefault="00DF4B03">
      <w:pPr>
        <w:pBdr>
          <w:top w:val="nil"/>
          <w:left w:val="nil"/>
          <w:bottom w:val="nil"/>
          <w:right w:val="nil"/>
          <w:between w:val="nil"/>
        </w:pBdr>
        <w:spacing w:after="200"/>
        <w:jc w:val="both"/>
        <w:rPr>
          <w:rFonts w:ascii="Century Gothic" w:eastAsia="Century Gothic" w:hAnsi="Century Gothic" w:cs="Century Gothic"/>
        </w:rPr>
      </w:pPr>
      <w:r>
        <w:rPr>
          <w:rFonts w:ascii="Century Gothic" w:eastAsia="Century Gothic" w:hAnsi="Century Gothic" w:cs="Century Gothic"/>
        </w:rPr>
        <w:t xml:space="preserve">Su extensión aproximada es de 93 km² y con temperatura media de 27,8°C, cuenta con una altitud promedio de 1 m.s.n.m., y se ubica a una distancia de 15 kilómetros de la capital del departamento del Atlántico. Limita al sur con el municipio de </w:t>
      </w:r>
      <w:proofErr w:type="spellStart"/>
      <w:r>
        <w:rPr>
          <w:rFonts w:ascii="Century Gothic" w:eastAsia="Century Gothic" w:hAnsi="Century Gothic" w:cs="Century Gothic"/>
        </w:rPr>
        <w:t>Tubará</w:t>
      </w:r>
      <w:proofErr w:type="spellEnd"/>
      <w:r>
        <w:rPr>
          <w:rFonts w:ascii="Century Gothic" w:eastAsia="Century Gothic" w:hAnsi="Century Gothic" w:cs="Century Gothic"/>
        </w:rPr>
        <w:t xml:space="preserve"> y de </w:t>
      </w:r>
      <w:proofErr w:type="spellStart"/>
      <w:r>
        <w:rPr>
          <w:rFonts w:ascii="Century Gothic" w:eastAsia="Century Gothic" w:hAnsi="Century Gothic" w:cs="Century Gothic"/>
        </w:rPr>
        <w:t>Galapa</w:t>
      </w:r>
      <w:proofErr w:type="spellEnd"/>
      <w:r>
        <w:rPr>
          <w:rFonts w:ascii="Century Gothic" w:eastAsia="Century Gothic" w:hAnsi="Century Gothic" w:cs="Century Gothic"/>
        </w:rPr>
        <w:t xml:space="preserve">; al occidente con el distrito de Barranquilla y al nororiente con el mar Caribe. Para 2015 se contaba con una estimación total de 48.070 habitantes, con una densidad de 658,49 </w:t>
      </w:r>
      <w:proofErr w:type="spellStart"/>
      <w:r>
        <w:rPr>
          <w:rFonts w:ascii="Century Gothic" w:eastAsia="Century Gothic" w:hAnsi="Century Gothic" w:cs="Century Gothic"/>
        </w:rPr>
        <w:t>hab</w:t>
      </w:r>
      <w:proofErr w:type="spellEnd"/>
      <w:r>
        <w:rPr>
          <w:rFonts w:ascii="Century Gothic" w:eastAsia="Century Gothic" w:hAnsi="Century Gothic" w:cs="Century Gothic"/>
        </w:rPr>
        <w:t>/km².</w:t>
      </w:r>
    </w:p>
    <w:p w:rsidR="00543786" w:rsidRDefault="00543786">
      <w:pPr>
        <w:pBdr>
          <w:top w:val="nil"/>
          <w:left w:val="nil"/>
          <w:bottom w:val="nil"/>
          <w:right w:val="nil"/>
          <w:between w:val="nil"/>
        </w:pBdr>
        <w:spacing w:after="200"/>
        <w:jc w:val="both"/>
        <w:rPr>
          <w:rFonts w:ascii="Century Gothic" w:eastAsia="Century Gothic" w:hAnsi="Century Gothic" w:cs="Century Gothic"/>
        </w:rPr>
      </w:pPr>
    </w:p>
    <w:p w:rsidR="000B7BB1" w:rsidRDefault="00DF4B03">
      <w:pPr>
        <w:spacing w:after="200"/>
        <w:jc w:val="both"/>
        <w:rPr>
          <w:rFonts w:ascii="Century Gothic" w:eastAsia="Century Gothic" w:hAnsi="Century Gothic" w:cs="Century Gothic"/>
          <w:b/>
        </w:rPr>
      </w:pPr>
      <w:r>
        <w:rPr>
          <w:rFonts w:ascii="Century Gothic" w:eastAsia="Century Gothic" w:hAnsi="Century Gothic" w:cs="Century Gothic"/>
          <w:b/>
        </w:rPr>
        <w:t>Puerto Colombia Distrito Especial Turístico:</w:t>
      </w:r>
    </w:p>
    <w:p w:rsidR="000B7BB1" w:rsidRDefault="00DF4B03">
      <w:pPr>
        <w:spacing w:after="200"/>
        <w:jc w:val="both"/>
        <w:rPr>
          <w:rFonts w:ascii="Century Gothic" w:eastAsia="Century Gothic" w:hAnsi="Century Gothic" w:cs="Century Gothic"/>
        </w:rPr>
      </w:pPr>
      <w:r>
        <w:rPr>
          <w:rFonts w:ascii="Century Gothic" w:eastAsia="Century Gothic" w:hAnsi="Century Gothic" w:cs="Century Gothic"/>
        </w:rPr>
        <w:t xml:space="preserve">Puerto Colombia, como municipio costero, posee un invaluable potencial de desarrollo en sus recursos hídricos, sus costas bañadas por el mar Caribe o mar de las Antillas, al igual que su corregimiento de Salgar, que no ha sido bien aprovechado para trazar verdaderas políticas en materia turística.  Actualmente, se presenta un turismo social en dos modalidades: una informal, representada en las casetas que están sobre la playa, y otra formal, representada en los establecimientos de las cajas de compensación. </w:t>
      </w:r>
    </w:p>
    <w:p w:rsidR="000B7BB1" w:rsidRDefault="00DF4B03">
      <w:pPr>
        <w:spacing w:after="200"/>
        <w:jc w:val="both"/>
        <w:rPr>
          <w:rFonts w:ascii="Century Gothic" w:eastAsia="Century Gothic" w:hAnsi="Century Gothic" w:cs="Century Gothic"/>
        </w:rPr>
      </w:pPr>
      <w:r>
        <w:rPr>
          <w:rFonts w:ascii="Century Gothic" w:eastAsia="Century Gothic" w:hAnsi="Century Gothic" w:cs="Century Gothic"/>
        </w:rPr>
        <w:t xml:space="preserve">En el municipio se localizan 3 hoteles que se consideran de patrimonio arquitectónico. Adicionalmente, Puerto Colombia cuenta con atractivos turísticos alrededor del muelle, el Castillo de Salgar, la Casa de la Cultura, la Iglesia de Salgar y de Puerto Colombia y la Alcaldía. De igual forma, se destacan destinos turísticos hacia el complejo urbano arquitectónico conformado por el Muelle, la Casa de la Cultura, la Alcaldía y la Iglesia, el sol y el mar en las diferentes playas y el Castillo de Salgar. </w:t>
      </w:r>
    </w:p>
    <w:p w:rsidR="000B7BB1" w:rsidRDefault="00DF4B03">
      <w:pPr>
        <w:spacing w:after="200"/>
        <w:jc w:val="both"/>
        <w:rPr>
          <w:rFonts w:ascii="Century Gothic" w:eastAsia="Century Gothic" w:hAnsi="Century Gothic" w:cs="Century Gothic"/>
        </w:rPr>
      </w:pPr>
      <w:r>
        <w:rPr>
          <w:rFonts w:ascii="Century Gothic" w:eastAsia="Century Gothic" w:hAnsi="Century Gothic" w:cs="Century Gothic"/>
        </w:rPr>
        <w:t>Por todo ello, el municipio también se posesiona como un referente en turismo cultural, particularmente el que tiene que ver con turismo patrimonial, turismo de monumentos nacionales y turismo histórico. Sin embargo, también se anota un gran potencial para desarrollar nuevos destinos turísticos que involucren el ecoturismo, el turismo acuífero y el turismo social.</w:t>
      </w:r>
    </w:p>
    <w:p w:rsidR="000B7BB1" w:rsidRDefault="00DF4B03">
      <w:pPr>
        <w:spacing w:after="200"/>
        <w:jc w:val="both"/>
        <w:rPr>
          <w:rFonts w:ascii="Century Gothic" w:eastAsia="Century Gothic" w:hAnsi="Century Gothic" w:cs="Century Gothic"/>
        </w:rPr>
      </w:pPr>
      <w:r>
        <w:rPr>
          <w:rFonts w:ascii="Century Gothic" w:eastAsia="Century Gothic" w:hAnsi="Century Gothic" w:cs="Century Gothic"/>
        </w:rPr>
        <w:lastRenderedPageBreak/>
        <w:t xml:space="preserve">Según la Universidad del Norte, mediante un proyecto integral de intervención se apuesta por la transformación del municipio de Puerto Colombia, que históricamente fue un epicentro económico nacional al contar con el puerto marítimo más importante del país. El desarrollo de distintos proyectos de investigación en salud, emprendimiento, ingeniería, historia, medio ambiente, turismo y cultura entre otras áreas, son una forma de promover y acompañar estos procesos en las gentes de Puerto Colombia. </w:t>
      </w:r>
    </w:p>
    <w:p w:rsidR="000B7BB1" w:rsidRDefault="00DF4B03">
      <w:pPr>
        <w:spacing w:after="200"/>
        <w:jc w:val="both"/>
        <w:rPr>
          <w:rFonts w:ascii="Century Gothic" w:eastAsia="Century Gothic" w:hAnsi="Century Gothic" w:cs="Century Gothic"/>
        </w:rPr>
      </w:pPr>
      <w:r>
        <w:rPr>
          <w:rFonts w:ascii="Century Gothic" w:eastAsia="Century Gothic" w:hAnsi="Century Gothic" w:cs="Century Gothic"/>
        </w:rPr>
        <w:t>Por esta razón, Puerto Colombia como primer terminal marítimo histórico del país, merece ser valorado histórica, cultural y turísticamente porque reúne las diversas manifestaciones patrimoniales mediante sus monumentos nacionales radicados en su perímetro urbano, asimismo se supliría la deuda nacional que se tiene con este municipio por el cierre definitivo de su puerto a mediados de la década de los treinta.</w:t>
      </w:r>
    </w:p>
    <w:p w:rsidR="000B7BB1" w:rsidRDefault="00DF4B03">
      <w:pPr>
        <w:spacing w:after="200"/>
        <w:jc w:val="both"/>
        <w:rPr>
          <w:rFonts w:ascii="Century Gothic" w:eastAsia="Century Gothic" w:hAnsi="Century Gothic" w:cs="Century Gothic"/>
          <w:b/>
        </w:rPr>
      </w:pPr>
      <w:r>
        <w:rPr>
          <w:rFonts w:ascii="Century Gothic" w:eastAsia="Century Gothic" w:hAnsi="Century Gothic" w:cs="Century Gothic"/>
          <w:b/>
        </w:rPr>
        <w:t>Puerto Colombia Distrito Especial Cultural:</w:t>
      </w:r>
    </w:p>
    <w:p w:rsidR="000B7BB1" w:rsidRDefault="00DF4B03">
      <w:pPr>
        <w:spacing w:after="200"/>
        <w:jc w:val="both"/>
        <w:rPr>
          <w:rFonts w:ascii="Century Gothic" w:eastAsia="Century Gothic" w:hAnsi="Century Gothic" w:cs="Century Gothic"/>
        </w:rPr>
      </w:pPr>
      <w:r>
        <w:rPr>
          <w:rFonts w:ascii="Century Gothic" w:eastAsia="Century Gothic" w:hAnsi="Century Gothic" w:cs="Century Gothic"/>
        </w:rPr>
        <w:t xml:space="preserve">Durante la época dorada que vivió Puerto Colombia, por medio de sus dinámicas económicas y sociales que le generó su desarrollo portuario, lo cual dejó huellas que hoy en día siguen en pie y que se reflejan a través tanto de las costumbres, tradiciones y festividades que allí se realizan, como de las edificaciones de aquel entonces que aún se mantienen. Por ende, se trata de un baluarte cultural y patrimonial en tanto se erige en un centro donde los hilos del pasado se unen con los </w:t>
      </w:r>
      <w:r w:rsidR="003A694C">
        <w:rPr>
          <w:rFonts w:ascii="Century Gothic" w:eastAsia="Century Gothic" w:hAnsi="Century Gothic" w:cs="Century Gothic"/>
        </w:rPr>
        <w:t>d</w:t>
      </w:r>
      <w:r>
        <w:rPr>
          <w:rFonts w:ascii="Century Gothic" w:eastAsia="Century Gothic" w:hAnsi="Century Gothic" w:cs="Century Gothic"/>
        </w:rPr>
        <w:t>el presente, narrando hechos de fundamental importancia no solo para el nivel local, sino también para el regional y el nacional.</w:t>
      </w:r>
    </w:p>
    <w:p w:rsidR="000B7BB1" w:rsidRDefault="00DF4B03">
      <w:pPr>
        <w:spacing w:after="200"/>
        <w:jc w:val="both"/>
        <w:rPr>
          <w:rFonts w:ascii="Century Gothic" w:eastAsia="Century Gothic" w:hAnsi="Century Gothic" w:cs="Century Gothic"/>
        </w:rPr>
      </w:pPr>
      <w:r>
        <w:rPr>
          <w:rFonts w:ascii="Century Gothic" w:eastAsia="Century Gothic" w:hAnsi="Century Gothic" w:cs="Century Gothic"/>
        </w:rPr>
        <w:t xml:space="preserve">Culturalmente, el municipio de Puerto Colombia es un territorio heterogéneo, de muchas tradiciones y culturas </w:t>
      </w:r>
      <w:r w:rsidR="003A694C">
        <w:rPr>
          <w:rFonts w:ascii="Century Gothic" w:eastAsia="Century Gothic" w:hAnsi="Century Gothic" w:cs="Century Gothic"/>
        </w:rPr>
        <w:t>que,</w:t>
      </w:r>
      <w:r>
        <w:rPr>
          <w:rFonts w:ascii="Century Gothic" w:eastAsia="Century Gothic" w:hAnsi="Century Gothic" w:cs="Century Gothic"/>
        </w:rPr>
        <w:t xml:space="preserve"> al mezclarse, han producido un tipo social que se identifica por su personalidad extrovertida, espontánea y alegre.</w:t>
      </w:r>
    </w:p>
    <w:p w:rsidR="000B7BB1" w:rsidRDefault="00DF4B03">
      <w:pPr>
        <w:spacing w:after="200"/>
        <w:jc w:val="both"/>
        <w:rPr>
          <w:rFonts w:ascii="Century Gothic" w:eastAsia="Century Gothic" w:hAnsi="Century Gothic" w:cs="Century Gothic"/>
        </w:rPr>
      </w:pPr>
      <w:r>
        <w:rPr>
          <w:rFonts w:ascii="Century Gothic" w:eastAsia="Century Gothic" w:hAnsi="Century Gothic" w:cs="Century Gothic"/>
        </w:rPr>
        <w:t xml:space="preserve">Puerto Colombia se destaca por sus valiosos monumentos como el Castillo de San Antonio de Salgar que es un lugar de gran interés histórico, pues era un fuerte español que servía como presidio, como colonia y más tarde como refugio del “Paso del Libertador”; el centenario Muelle, ubicado en la carrera 4 con la calle 1E, construido en 1888 y concebido como parte final del terminal marítimo de Barranquilla ubicado en Puerto Colombia y </w:t>
      </w:r>
      <w:r>
        <w:rPr>
          <w:rFonts w:ascii="Century Gothic" w:eastAsia="Century Gothic" w:hAnsi="Century Gothic" w:cs="Century Gothic"/>
        </w:rPr>
        <w:lastRenderedPageBreak/>
        <w:t xml:space="preserve">consagrado como bien de interés cultural de carácter nacional, mediante la Resolución No. 0799 de 1998. Fue considerado una de las más notables construcciones del siglo XIX en el país debido a su importancia como principal puerto marítimo y por el hecho de ser en su momento el segundo muelle más largo del mundo; la Estación del Antiguo Ferrocarril de Bolívar, ubicada en la Plaza Principal y la Casa del Primer Correo Aéreo en el Atlántico. Así como por la impresionante arquitectura del edificio de la alcaldía, la del Santuario Mariano Nuestra Señora del Carmen, la del Hotel </w:t>
      </w:r>
      <w:proofErr w:type="spellStart"/>
      <w:r>
        <w:rPr>
          <w:rFonts w:ascii="Century Gothic" w:eastAsia="Century Gothic" w:hAnsi="Century Gothic" w:cs="Century Gothic"/>
        </w:rPr>
        <w:t>Pradomar</w:t>
      </w:r>
      <w:proofErr w:type="spellEnd"/>
      <w:r>
        <w:rPr>
          <w:rFonts w:ascii="Century Gothic" w:eastAsia="Century Gothic" w:hAnsi="Century Gothic" w:cs="Century Gothic"/>
        </w:rPr>
        <w:t>, la del malecón de Puerto Colombia, entre otros.</w:t>
      </w:r>
    </w:p>
    <w:p w:rsidR="000B7BB1" w:rsidRDefault="00DF4B03">
      <w:pPr>
        <w:spacing w:after="200"/>
        <w:jc w:val="both"/>
        <w:rPr>
          <w:rFonts w:ascii="Century Gothic" w:eastAsia="Century Gothic" w:hAnsi="Century Gothic" w:cs="Century Gothic"/>
        </w:rPr>
      </w:pPr>
      <w:r>
        <w:rPr>
          <w:rFonts w:ascii="Century Gothic" w:eastAsia="Century Gothic" w:hAnsi="Century Gothic" w:cs="Century Gothic"/>
        </w:rPr>
        <w:t xml:space="preserve">A instancias de la empresa privada en asocio con el municipio y la gobernación, se han creado interesantes atractivos y actividades culturales que buscan arraigar costumbres de la cultura caribeña, </w:t>
      </w:r>
      <w:r w:rsidR="003A694C">
        <w:rPr>
          <w:rFonts w:ascii="Century Gothic" w:eastAsia="Century Gothic" w:hAnsi="Century Gothic" w:cs="Century Gothic"/>
        </w:rPr>
        <w:t>como el</w:t>
      </w:r>
      <w:r>
        <w:rPr>
          <w:rFonts w:ascii="Century Gothic" w:eastAsia="Century Gothic" w:hAnsi="Century Gothic" w:cs="Century Gothic"/>
        </w:rPr>
        <w:t xml:space="preserve"> proyecto “Defensa del patrimonio vivo de Puerto Colombia” que busca visibilizar la importancia de mantener y salvaguardar los bienes de interés cultural que actualmente siguen en pie en el municipio de Puerto Colombia. Se intenta empoderar a la comunidad sobre la preservación patrimonial, como una de las fortalezas para el desarrollo del municipio ya que éste vio entrar, a través del Muelle Francisco José Cisneros, gran parte de lo que hoy nos caracteriza como esa nación diversa que es Colombia.</w:t>
      </w:r>
    </w:p>
    <w:p w:rsidR="000B7BB1" w:rsidRDefault="003A694C">
      <w:pPr>
        <w:spacing w:after="200"/>
        <w:jc w:val="both"/>
        <w:rPr>
          <w:rFonts w:ascii="Century Gothic" w:eastAsia="Century Gothic" w:hAnsi="Century Gothic" w:cs="Century Gothic"/>
        </w:rPr>
      </w:pPr>
      <w:r>
        <w:rPr>
          <w:rFonts w:ascii="Century Gothic" w:eastAsia="Century Gothic" w:hAnsi="Century Gothic" w:cs="Century Gothic"/>
        </w:rPr>
        <w:t>El festival</w:t>
      </w:r>
      <w:r w:rsidR="00DF4B03">
        <w:rPr>
          <w:rFonts w:ascii="Century Gothic" w:eastAsia="Century Gothic" w:hAnsi="Century Gothic" w:cs="Century Gothic"/>
        </w:rPr>
        <w:t xml:space="preserve"> internacional de coros </w:t>
      </w:r>
      <w:r w:rsidR="00DF4B03">
        <w:rPr>
          <w:rFonts w:ascii="Century Gothic" w:eastAsia="Century Gothic" w:hAnsi="Century Gothic" w:cs="Century Gothic"/>
          <w:b/>
        </w:rPr>
        <w:t>“Un Mar de Voces”</w:t>
      </w:r>
      <w:r w:rsidR="00DF4B03">
        <w:rPr>
          <w:rFonts w:ascii="Century Gothic" w:eastAsia="Century Gothic" w:hAnsi="Century Gothic" w:cs="Century Gothic"/>
        </w:rPr>
        <w:t xml:space="preserve"> es un encuentro coral no competitivo que reúne los procesos corales pertenecientes al departamento del Atlántico, en donde comparten sus experiencias con grupos corales nacionales y agrupaciones invitadas internacionales. Además de realizar conciertos de gala y didácticos, se ofrecen espacios de capacitación a través de conversatorios y talleres para directores, coristas y público en general. </w:t>
      </w:r>
      <w:r>
        <w:rPr>
          <w:rFonts w:ascii="Century Gothic" w:eastAsia="Century Gothic" w:hAnsi="Century Gothic" w:cs="Century Gothic"/>
        </w:rPr>
        <w:t>Además,</w:t>
      </w:r>
      <w:r w:rsidR="00DF4B03">
        <w:rPr>
          <w:rFonts w:ascii="Century Gothic" w:eastAsia="Century Gothic" w:hAnsi="Century Gothic" w:cs="Century Gothic"/>
        </w:rPr>
        <w:t xml:space="preserve"> el reconocimiento a la labor de un director coral de Colombia.</w:t>
      </w:r>
    </w:p>
    <w:p w:rsidR="000B7BB1" w:rsidRDefault="00DF4B03">
      <w:pPr>
        <w:spacing w:after="200"/>
        <w:jc w:val="both"/>
        <w:rPr>
          <w:rFonts w:ascii="Century Gothic" w:eastAsia="Century Gothic" w:hAnsi="Century Gothic" w:cs="Century Gothic"/>
        </w:rPr>
      </w:pPr>
      <w:r>
        <w:rPr>
          <w:rFonts w:ascii="Century Gothic" w:eastAsia="Century Gothic" w:hAnsi="Century Gothic" w:cs="Century Gothic"/>
        </w:rPr>
        <w:t xml:space="preserve">Una de las más grandes expresiones culturales que dejan entrever el acervo y las raíces costeñas, es </w:t>
      </w:r>
      <w:r>
        <w:rPr>
          <w:rFonts w:ascii="Century Gothic" w:eastAsia="Century Gothic" w:hAnsi="Century Gothic" w:cs="Century Gothic"/>
          <w:b/>
        </w:rPr>
        <w:t xml:space="preserve">El </w:t>
      </w:r>
      <w:proofErr w:type="spellStart"/>
      <w:r>
        <w:rPr>
          <w:rFonts w:ascii="Century Gothic" w:eastAsia="Century Gothic" w:hAnsi="Century Gothic" w:cs="Century Gothic"/>
          <w:b/>
        </w:rPr>
        <w:t>Sirenato</w:t>
      </w:r>
      <w:proofErr w:type="spellEnd"/>
      <w:r>
        <w:rPr>
          <w:rFonts w:ascii="Century Gothic" w:eastAsia="Century Gothic" w:hAnsi="Century Gothic" w:cs="Century Gothic"/>
        </w:rPr>
        <w:t xml:space="preserve">; es una fiesta típica de gran repercusión entre los municipios cercanos. Allí es muy común la interpretación instrumental del tambor alegre, en ocasiones es el llamador para ejecutar los </w:t>
      </w:r>
      <w:proofErr w:type="spellStart"/>
      <w:r>
        <w:rPr>
          <w:rFonts w:ascii="Century Gothic" w:eastAsia="Century Gothic" w:hAnsi="Century Gothic" w:cs="Century Gothic"/>
        </w:rPr>
        <w:t>bullerengues</w:t>
      </w:r>
      <w:proofErr w:type="spellEnd"/>
      <w:r>
        <w:rPr>
          <w:rFonts w:ascii="Century Gothic" w:eastAsia="Century Gothic" w:hAnsi="Century Gothic" w:cs="Century Gothic"/>
        </w:rPr>
        <w:t>, y la cumbia. Es un universo mágico y atrayente para toda persona que tenga la fortuna de apreciar la cadencia de ese ritmo.</w:t>
      </w:r>
    </w:p>
    <w:p w:rsidR="000B7BB1" w:rsidRDefault="00DF4B03">
      <w:pPr>
        <w:spacing w:after="200"/>
        <w:jc w:val="both"/>
        <w:rPr>
          <w:rFonts w:ascii="Century Gothic" w:eastAsia="Century Gothic" w:hAnsi="Century Gothic" w:cs="Century Gothic"/>
        </w:rPr>
      </w:pPr>
      <w:r>
        <w:rPr>
          <w:rFonts w:ascii="Century Gothic" w:eastAsia="Century Gothic" w:hAnsi="Century Gothic" w:cs="Century Gothic"/>
        </w:rPr>
        <w:lastRenderedPageBreak/>
        <w:t xml:space="preserve">Otra manifestación cultural de gran repercusión nacional, es el </w:t>
      </w:r>
      <w:r>
        <w:rPr>
          <w:rFonts w:ascii="Century Gothic" w:eastAsia="Century Gothic" w:hAnsi="Century Gothic" w:cs="Century Gothic"/>
          <w:b/>
        </w:rPr>
        <w:t>Festival Internacional de Tunas</w:t>
      </w:r>
      <w:r>
        <w:rPr>
          <w:rFonts w:ascii="Century Gothic" w:eastAsia="Century Gothic" w:hAnsi="Century Gothic" w:cs="Century Gothic"/>
        </w:rPr>
        <w:t xml:space="preserve">; desde el 2011, la Fundación Puerto </w:t>
      </w:r>
      <w:r w:rsidR="003A694C">
        <w:rPr>
          <w:rFonts w:ascii="Century Gothic" w:eastAsia="Century Gothic" w:hAnsi="Century Gothic" w:cs="Century Gothic"/>
        </w:rPr>
        <w:t>Colombia en</w:t>
      </w:r>
      <w:r>
        <w:rPr>
          <w:rFonts w:ascii="Century Gothic" w:eastAsia="Century Gothic" w:hAnsi="Century Gothic" w:cs="Century Gothic"/>
        </w:rPr>
        <w:t xml:space="preserve"> alianza con la Tuna Mayor Corazonista viene dando a conocer este género en todo el Atlántico. Desde entonces se han realizado 4 versiones de este festival, con la participación de agrupaciones provenientes de todo el territorio nacional y países como Puerto Rico, España y México. El evento se realiza anualmente en la plaza de Santuario Mariano Nuestra Señora del Carmen, en el mes de </w:t>
      </w:r>
      <w:r w:rsidR="003A694C">
        <w:rPr>
          <w:rFonts w:ascii="Century Gothic" w:eastAsia="Century Gothic" w:hAnsi="Century Gothic" w:cs="Century Gothic"/>
        </w:rPr>
        <w:t>octubre</w:t>
      </w:r>
      <w:r>
        <w:rPr>
          <w:rFonts w:ascii="Century Gothic" w:eastAsia="Century Gothic" w:hAnsi="Century Gothic" w:cs="Century Gothic"/>
        </w:rPr>
        <w:t>.</w:t>
      </w:r>
    </w:p>
    <w:p w:rsidR="000B7BB1" w:rsidRDefault="00DF4B03">
      <w:pPr>
        <w:spacing w:after="200"/>
        <w:jc w:val="both"/>
        <w:rPr>
          <w:rFonts w:ascii="Century Gothic" w:eastAsia="Century Gothic" w:hAnsi="Century Gothic" w:cs="Century Gothic"/>
        </w:rPr>
      </w:pPr>
      <w:r>
        <w:rPr>
          <w:rFonts w:ascii="Century Gothic" w:eastAsia="Century Gothic" w:hAnsi="Century Gothic" w:cs="Century Gothic"/>
        </w:rPr>
        <w:t xml:space="preserve">Desde 2011 la Fundación Puerto Colombia, en alianza con el grupo de investigación Sapiencia, Arte y Música SAM de la Universidad del Atlántico, han llevado a la plaza de Puerto Colombia el cierre del </w:t>
      </w:r>
      <w:r>
        <w:rPr>
          <w:rFonts w:ascii="Century Gothic" w:eastAsia="Century Gothic" w:hAnsi="Century Gothic" w:cs="Century Gothic"/>
          <w:b/>
        </w:rPr>
        <w:t xml:space="preserve">Festival de Jazz </w:t>
      </w:r>
      <w:proofErr w:type="spellStart"/>
      <w:r>
        <w:rPr>
          <w:rFonts w:ascii="Century Gothic" w:eastAsia="Century Gothic" w:hAnsi="Century Gothic" w:cs="Century Gothic"/>
          <w:b/>
        </w:rPr>
        <w:t>Atlantijazz</w:t>
      </w:r>
      <w:proofErr w:type="spellEnd"/>
      <w:r>
        <w:rPr>
          <w:rFonts w:ascii="Century Gothic" w:eastAsia="Century Gothic" w:hAnsi="Century Gothic" w:cs="Century Gothic"/>
        </w:rPr>
        <w:t>, un evento académico que reúne lo mejor de las agrupaciones de este género en el país y la región, el cual también ofrece diversión para todo tipo de público con conciertos en vivo.</w:t>
      </w:r>
    </w:p>
    <w:p w:rsidR="000B7BB1" w:rsidRDefault="00DF4B03">
      <w:pPr>
        <w:spacing w:after="200"/>
        <w:jc w:val="both"/>
        <w:rPr>
          <w:rFonts w:ascii="Century Gothic" w:eastAsia="Century Gothic" w:hAnsi="Century Gothic" w:cs="Century Gothic"/>
        </w:rPr>
      </w:pPr>
      <w:r>
        <w:rPr>
          <w:rFonts w:ascii="Century Gothic" w:eastAsia="Century Gothic" w:hAnsi="Century Gothic" w:cs="Century Gothic"/>
        </w:rPr>
        <w:t>El municipio cuenta con 2 escenarios culturales, 10 grupos artísticos, 14 grupos folclóricos 4 grupos de danzas para realizar y fomentar la cultura dentro la población.</w:t>
      </w:r>
    </w:p>
    <w:p w:rsidR="000B7BB1" w:rsidRDefault="00DF4B03">
      <w:pPr>
        <w:spacing w:after="200"/>
        <w:jc w:val="both"/>
        <w:rPr>
          <w:rFonts w:ascii="Century Gothic" w:eastAsia="Century Gothic" w:hAnsi="Century Gothic" w:cs="Century Gothic"/>
        </w:rPr>
      </w:pPr>
      <w:r>
        <w:rPr>
          <w:rFonts w:ascii="Century Gothic" w:eastAsia="Century Gothic" w:hAnsi="Century Gothic" w:cs="Century Gothic"/>
        </w:rPr>
        <w:t>Finalmente, parte de la economía del Atlántico la integra el trabajo manual que los artesanos y pescadores de Puerto Colombia desempeñan con gran creatividad y destreza, elaborando las más originales artesanías con materiales propios de la región. De esta forma, Puerto Colombia cuenta con una Asociación de Artesanos, cuyos trabajos son elaborados con recursos del medio, especialmente conchas marinas, maderas, cocos y hojas secas, los productos que más sobresalen son las cerámicas y cestería los cuales son promocionados a través de exposiciones. Existen además varios talleres de ebanistería y modistería organizados en forma de microempresas, creando fuentes de empleo y proyectando el comercio.</w:t>
      </w:r>
    </w:p>
    <w:p w:rsidR="000B7BB1" w:rsidRDefault="00DF4B03">
      <w:pPr>
        <w:spacing w:after="200"/>
        <w:jc w:val="both"/>
        <w:rPr>
          <w:rFonts w:ascii="Century Gothic" w:eastAsia="Century Gothic" w:hAnsi="Century Gothic" w:cs="Century Gothic"/>
          <w:b/>
        </w:rPr>
      </w:pPr>
      <w:r>
        <w:rPr>
          <w:rFonts w:ascii="Century Gothic" w:eastAsia="Century Gothic" w:hAnsi="Century Gothic" w:cs="Century Gothic"/>
          <w:b/>
        </w:rPr>
        <w:t>Puerto Colombia Distrito Especial Histórico:</w:t>
      </w:r>
    </w:p>
    <w:p w:rsidR="000B7BB1" w:rsidRDefault="00DF4B03">
      <w:pPr>
        <w:spacing w:after="200"/>
        <w:jc w:val="both"/>
        <w:rPr>
          <w:rFonts w:ascii="Century Gothic" w:eastAsia="Century Gothic" w:hAnsi="Century Gothic" w:cs="Century Gothic"/>
        </w:rPr>
      </w:pPr>
      <w:r>
        <w:rPr>
          <w:rFonts w:ascii="Century Gothic" w:eastAsia="Century Gothic" w:hAnsi="Century Gothic" w:cs="Century Gothic"/>
        </w:rPr>
        <w:t xml:space="preserve">Puerto Colombia fue fundado el 31 de diciembre de 1888 por el ingeniero cubano Francisco Javier Cisneros, </w:t>
      </w:r>
      <w:r w:rsidR="003A694C">
        <w:rPr>
          <w:rFonts w:ascii="Century Gothic" w:eastAsia="Century Gothic" w:hAnsi="Century Gothic" w:cs="Century Gothic"/>
        </w:rPr>
        <w:t>que,</w:t>
      </w:r>
      <w:r>
        <w:rPr>
          <w:rFonts w:ascii="Century Gothic" w:eastAsia="Century Gothic" w:hAnsi="Century Gothic" w:cs="Century Gothic"/>
        </w:rPr>
        <w:t xml:space="preserve"> con el inicio de las obras de construcción del muelle, dio paso al terminal marítimo más importante de Colombia. De esta manera, debido a la relevancia histórica del municipio de Puerto Colombia a nivel nacional se explica por el desarrollo económico, social y de ingeniería que implicó su consolidación como terminal marítimo </w:t>
      </w:r>
      <w:r>
        <w:rPr>
          <w:rFonts w:ascii="Century Gothic" w:eastAsia="Century Gothic" w:hAnsi="Century Gothic" w:cs="Century Gothic"/>
        </w:rPr>
        <w:lastRenderedPageBreak/>
        <w:t>entre finales del siglo XIX y la primera mitad del XX. Las construcciones del Muelle de Puerto Colombia y de la vía férrea que lo conectaba con Barranquilla para el transporte de carga, fueron de fundamental importancia para el desarrollo del país durante las primeras cinco décadas del siglo XX.</w:t>
      </w:r>
      <w:r>
        <w:rPr>
          <w:rFonts w:ascii="Arial" w:eastAsia="Arial" w:hAnsi="Arial" w:cs="Arial"/>
        </w:rPr>
        <w:t xml:space="preserve"> </w:t>
      </w:r>
    </w:p>
    <w:p w:rsidR="000B7BB1" w:rsidRDefault="00DF4B03">
      <w:pPr>
        <w:spacing w:after="200"/>
        <w:jc w:val="both"/>
        <w:rPr>
          <w:rFonts w:ascii="Century Gothic" w:eastAsia="Century Gothic" w:hAnsi="Century Gothic" w:cs="Century Gothic"/>
        </w:rPr>
      </w:pPr>
      <w:r>
        <w:rPr>
          <w:rFonts w:ascii="Century Gothic" w:eastAsia="Century Gothic" w:hAnsi="Century Gothic" w:cs="Century Gothic"/>
        </w:rPr>
        <w:t xml:space="preserve">La explicación de esto se da, en primer lugar, por el hecho de que los dos grandes puertos que tuvieron relevancia estratégica hasta el siglo XVIII, el de Cartagena y el de Santa Marta, no la presentaron para el comercio moderno debido a la poca navegabilidad que ofrecían, particularmente por la sedimentación, y a la nula conexión que tenían con el Río Magdalena, principal arteria fluvial para el transporte de carga y de pasajeros entre las costas y el interior del país (Correa, J. </w:t>
      </w:r>
      <w:r w:rsidR="003A694C">
        <w:rPr>
          <w:rFonts w:ascii="Century Gothic" w:eastAsia="Century Gothic" w:hAnsi="Century Gothic" w:cs="Century Gothic"/>
        </w:rPr>
        <w:t>2012)</w:t>
      </w:r>
      <w:r w:rsidR="003A694C">
        <w:rPr>
          <w:rStyle w:val="Refdenotaalpie"/>
          <w:rFonts w:ascii="Century Gothic" w:eastAsia="Century Gothic" w:hAnsi="Century Gothic" w:cs="Century Gothic"/>
        </w:rPr>
        <w:footnoteReference w:id="1"/>
      </w:r>
      <w:r>
        <w:rPr>
          <w:rFonts w:ascii="Century Gothic" w:eastAsia="Century Gothic" w:hAnsi="Century Gothic" w:cs="Century Gothic"/>
        </w:rPr>
        <w:t xml:space="preserve">. </w:t>
      </w:r>
    </w:p>
    <w:p w:rsidR="000B7BB1" w:rsidRDefault="00DF4B03">
      <w:pPr>
        <w:spacing w:after="200"/>
        <w:jc w:val="both"/>
        <w:rPr>
          <w:rFonts w:ascii="Century Gothic" w:eastAsia="Century Gothic" w:hAnsi="Century Gothic" w:cs="Century Gothic"/>
        </w:rPr>
      </w:pPr>
      <w:r>
        <w:rPr>
          <w:rFonts w:ascii="Century Gothic" w:eastAsia="Century Gothic" w:hAnsi="Century Gothic" w:cs="Century Gothic"/>
        </w:rPr>
        <w:t xml:space="preserve">En segundo lugar, no fue hasta la construcción del puerto satélite en la bahía de Sabanilla (corregimiento de Puerto Colombia) y de la línea férrea que lo comunicó con la capital del Atlántico, Barranquilla, que esta última se erigió y transformó en el principal puerto de Colombia, pues a comienzos del siglo XIX los bancos de arena de Bocas de Ceniza impedían el paso de los buques desde el mar hacia Río Magdalena. </w:t>
      </w:r>
    </w:p>
    <w:p w:rsidR="000B7BB1" w:rsidRDefault="00DF4B03">
      <w:pPr>
        <w:spacing w:after="200"/>
        <w:jc w:val="both"/>
        <w:rPr>
          <w:rFonts w:ascii="Century Gothic" w:eastAsia="Century Gothic" w:hAnsi="Century Gothic" w:cs="Century Gothic"/>
        </w:rPr>
      </w:pPr>
      <w:r>
        <w:rPr>
          <w:rFonts w:ascii="Century Gothic" w:eastAsia="Century Gothic" w:hAnsi="Century Gothic" w:cs="Century Gothic"/>
        </w:rPr>
        <w:t xml:space="preserve">A nivel demográfico y social, por ejemplo, “entre 1843 y 1851 la población barranquillera pasó de 11.510 a 12.265 habitantes, mientras que Cartagena y Santa Marta pasaron de 20.257 y 11.393 a 18.567 y 5.774 habitantes, respectivamente, en ese mismo periodo; lo que sugiere una recomposición de la población caribeña en favor del centro más dinámico”. </w:t>
      </w:r>
    </w:p>
    <w:p w:rsidR="000B7BB1" w:rsidRDefault="00DF4B03">
      <w:pPr>
        <w:spacing w:after="200"/>
        <w:jc w:val="both"/>
        <w:rPr>
          <w:rFonts w:ascii="Century Gothic" w:eastAsia="Century Gothic" w:hAnsi="Century Gothic" w:cs="Century Gothic"/>
        </w:rPr>
      </w:pPr>
      <w:r>
        <w:rPr>
          <w:rFonts w:ascii="Century Gothic" w:eastAsia="Century Gothic" w:hAnsi="Century Gothic" w:cs="Century Gothic"/>
        </w:rPr>
        <w:t xml:space="preserve">A nivel comercial, por su parte, “entre 1865 y 1866 se exportaron 4.154 toneladas de tabaco a través de Sabanilla frente a 546 a través de Cartagena y Santa Marta, aunque seguía siendo un caserío pequeño con una escuela y sin iglesias (Posada, 1987, 18)” (Ibíd). Igualmente, una vez se terminó la primera etapa del ferrocarril de Sabanilla en el año 1871, los ingresos de aduanas entre Sabanilla, Cartagena y Santa Marta marcaron registros muy desiguales, saliendo favorecido el corregimiento de Puerto Colombia. </w:t>
      </w:r>
    </w:p>
    <w:p w:rsidR="000B7BB1" w:rsidRDefault="00DF4B03">
      <w:pPr>
        <w:spacing w:after="200"/>
        <w:jc w:val="both"/>
        <w:rPr>
          <w:rFonts w:ascii="Century Gothic" w:eastAsia="Century Gothic" w:hAnsi="Century Gothic" w:cs="Century Gothic"/>
          <w:b/>
        </w:rPr>
      </w:pPr>
      <w:r>
        <w:rPr>
          <w:rFonts w:ascii="Century Gothic" w:eastAsia="Century Gothic" w:hAnsi="Century Gothic" w:cs="Century Gothic"/>
        </w:rPr>
        <w:lastRenderedPageBreak/>
        <w:t xml:space="preserve">El autor Juan Santiago Correa retoma los datos obtenidos por </w:t>
      </w:r>
      <w:proofErr w:type="spellStart"/>
      <w:r>
        <w:rPr>
          <w:rFonts w:ascii="Century Gothic" w:eastAsia="Century Gothic" w:hAnsi="Century Gothic" w:cs="Century Gothic"/>
        </w:rPr>
        <w:t>Nichols</w:t>
      </w:r>
      <w:proofErr w:type="spellEnd"/>
      <w:r>
        <w:rPr>
          <w:rFonts w:ascii="Century Gothic" w:eastAsia="Century Gothic" w:hAnsi="Century Gothic" w:cs="Century Gothic"/>
        </w:rPr>
        <w:t xml:space="preserve"> (1988) y Poveda (2010), y muestra cómo no sólo se trasladó más carga de comercio exterior hacia el Puerto de Sabanilla, sino que también se registró un crecimiento global de los ingresos, en contravía de lo que sucedió con los Puertos de Cartagena y Santa Marta. </w:t>
      </w:r>
    </w:p>
    <w:p w:rsidR="000B7BB1" w:rsidRDefault="00DF4B03">
      <w:pPr>
        <w:numPr>
          <w:ilvl w:val="0"/>
          <w:numId w:val="2"/>
        </w:numPr>
        <w:pBdr>
          <w:top w:val="nil"/>
          <w:left w:val="nil"/>
          <w:bottom w:val="nil"/>
          <w:right w:val="nil"/>
          <w:between w:val="nil"/>
        </w:pBdr>
        <w:spacing w:after="200"/>
        <w:rPr>
          <w:rFonts w:ascii="Century Gothic" w:eastAsia="Century Gothic" w:hAnsi="Century Gothic" w:cs="Century Gothic"/>
        </w:rPr>
      </w:pPr>
      <w:r>
        <w:rPr>
          <w:rFonts w:ascii="Century Gothic" w:eastAsia="Century Gothic" w:hAnsi="Century Gothic" w:cs="Century Gothic"/>
          <w:b/>
        </w:rPr>
        <w:t>BENEFICIOS DE LA INICIATIVA</w:t>
      </w:r>
    </w:p>
    <w:p w:rsidR="000B7BB1" w:rsidRDefault="00DF4B03">
      <w:pPr>
        <w:pBdr>
          <w:top w:val="nil"/>
          <w:left w:val="nil"/>
          <w:bottom w:val="nil"/>
          <w:right w:val="nil"/>
          <w:between w:val="nil"/>
        </w:pBdr>
        <w:spacing w:after="200"/>
        <w:jc w:val="both"/>
        <w:rPr>
          <w:rFonts w:ascii="Century Gothic" w:eastAsia="Century Gothic" w:hAnsi="Century Gothic" w:cs="Century Gothic"/>
        </w:rPr>
      </w:pPr>
      <w:r>
        <w:rPr>
          <w:rFonts w:ascii="Century Gothic" w:eastAsia="Century Gothic" w:hAnsi="Century Gothic" w:cs="Century Gothic"/>
        </w:rPr>
        <w:t>La declaratoria de Distrito Especial Turístico, Cultural e Histórico al municipio de Puerto Colombia en el departamento del Atlántico, permitiría:</w:t>
      </w:r>
    </w:p>
    <w:p w:rsidR="000B7BB1" w:rsidRDefault="00DF4B03">
      <w:pPr>
        <w:numPr>
          <w:ilvl w:val="0"/>
          <w:numId w:val="1"/>
        </w:numPr>
        <w:pBdr>
          <w:top w:val="nil"/>
          <w:left w:val="nil"/>
          <w:bottom w:val="nil"/>
          <w:right w:val="nil"/>
          <w:between w:val="nil"/>
        </w:pBdr>
        <w:jc w:val="both"/>
        <w:rPr>
          <w:rFonts w:ascii="Century Gothic" w:eastAsia="Century Gothic" w:hAnsi="Century Gothic" w:cs="Century Gothic"/>
        </w:rPr>
      </w:pPr>
      <w:r>
        <w:rPr>
          <w:rFonts w:ascii="Century Gothic" w:eastAsia="Century Gothic" w:hAnsi="Century Gothic" w:cs="Century Gothic"/>
        </w:rPr>
        <w:t xml:space="preserve">Convertirse en autoridad turística. cultural e histórica y hacerse partícipe de los recursos nacionales y departamentales para el desarrollo municipal. </w:t>
      </w:r>
    </w:p>
    <w:p w:rsidR="000B7BB1" w:rsidRDefault="00DF4B03">
      <w:pPr>
        <w:numPr>
          <w:ilvl w:val="0"/>
          <w:numId w:val="1"/>
        </w:numPr>
        <w:pBdr>
          <w:top w:val="nil"/>
          <w:left w:val="nil"/>
          <w:bottom w:val="nil"/>
          <w:right w:val="nil"/>
          <w:between w:val="nil"/>
        </w:pBdr>
        <w:jc w:val="both"/>
        <w:rPr>
          <w:rFonts w:ascii="Century Gothic" w:eastAsia="Century Gothic" w:hAnsi="Century Gothic" w:cs="Century Gothic"/>
        </w:rPr>
      </w:pPr>
      <w:r>
        <w:rPr>
          <w:rFonts w:ascii="Century Gothic" w:eastAsia="Century Gothic" w:hAnsi="Century Gothic" w:cs="Century Gothic"/>
        </w:rPr>
        <w:t xml:space="preserve">Fortalecer y ampliar su actividad turística. </w:t>
      </w:r>
    </w:p>
    <w:p w:rsidR="000B7BB1" w:rsidRDefault="00DF4B03">
      <w:pPr>
        <w:numPr>
          <w:ilvl w:val="0"/>
          <w:numId w:val="1"/>
        </w:numPr>
        <w:pBdr>
          <w:top w:val="nil"/>
          <w:left w:val="nil"/>
          <w:bottom w:val="nil"/>
          <w:right w:val="nil"/>
          <w:between w:val="nil"/>
        </w:pBdr>
        <w:jc w:val="both"/>
        <w:rPr>
          <w:rFonts w:ascii="Century Gothic" w:eastAsia="Century Gothic" w:hAnsi="Century Gothic" w:cs="Century Gothic"/>
        </w:rPr>
      </w:pPr>
      <w:r>
        <w:rPr>
          <w:rFonts w:ascii="Century Gothic" w:eastAsia="Century Gothic" w:hAnsi="Century Gothic" w:cs="Century Gothic"/>
        </w:rPr>
        <w:t>Solicitar al departamento que los dineros recaudados en su circunscripción sean invertidos y destinados preferencialmente en sus proyectos.</w:t>
      </w:r>
    </w:p>
    <w:p w:rsidR="000B7BB1" w:rsidRDefault="00DF4B03">
      <w:pPr>
        <w:numPr>
          <w:ilvl w:val="0"/>
          <w:numId w:val="1"/>
        </w:numPr>
        <w:pBdr>
          <w:top w:val="nil"/>
          <w:left w:val="nil"/>
          <w:bottom w:val="nil"/>
          <w:right w:val="nil"/>
          <w:between w:val="nil"/>
        </w:pBdr>
        <w:jc w:val="both"/>
        <w:rPr>
          <w:rFonts w:ascii="Century Gothic" w:eastAsia="Century Gothic" w:hAnsi="Century Gothic" w:cs="Century Gothic"/>
        </w:rPr>
      </w:pPr>
      <w:r>
        <w:rPr>
          <w:rFonts w:ascii="Century Gothic" w:eastAsia="Century Gothic" w:hAnsi="Century Gothic" w:cs="Century Gothic"/>
        </w:rPr>
        <w:t xml:space="preserve">Fortalecer su estructura administrativa y política y acercarla a los ciudadanos. </w:t>
      </w:r>
    </w:p>
    <w:p w:rsidR="000B7BB1" w:rsidRDefault="00DF4B03">
      <w:pPr>
        <w:numPr>
          <w:ilvl w:val="0"/>
          <w:numId w:val="1"/>
        </w:numPr>
        <w:pBdr>
          <w:top w:val="nil"/>
          <w:left w:val="nil"/>
          <w:bottom w:val="nil"/>
          <w:right w:val="nil"/>
          <w:between w:val="nil"/>
        </w:pBdr>
        <w:jc w:val="both"/>
        <w:rPr>
          <w:rFonts w:ascii="Century Gothic" w:eastAsia="Century Gothic" w:hAnsi="Century Gothic" w:cs="Century Gothic"/>
        </w:rPr>
      </w:pPr>
      <w:r>
        <w:rPr>
          <w:rFonts w:ascii="Century Gothic" w:eastAsia="Century Gothic" w:hAnsi="Century Gothic" w:cs="Century Gothic"/>
        </w:rPr>
        <w:t xml:space="preserve">Suscribir contratos y convenios en el marco de la normatividad vigente, bajo las prerrogativas que en materia de acceso y estabilidad jurídica le son aplicables como distrito especial. </w:t>
      </w:r>
    </w:p>
    <w:p w:rsidR="000B7BB1" w:rsidRDefault="00DF4B03">
      <w:pPr>
        <w:numPr>
          <w:ilvl w:val="0"/>
          <w:numId w:val="1"/>
        </w:numPr>
        <w:pBdr>
          <w:top w:val="nil"/>
          <w:left w:val="nil"/>
          <w:bottom w:val="nil"/>
          <w:right w:val="nil"/>
          <w:between w:val="nil"/>
        </w:pBdr>
        <w:jc w:val="both"/>
        <w:rPr>
          <w:rFonts w:ascii="Century Gothic" w:eastAsia="Century Gothic" w:hAnsi="Century Gothic" w:cs="Century Gothic"/>
        </w:rPr>
      </w:pPr>
      <w:r>
        <w:rPr>
          <w:rFonts w:ascii="Century Gothic" w:eastAsia="Century Gothic" w:hAnsi="Century Gothic" w:cs="Century Gothic"/>
        </w:rPr>
        <w:t>Obtención de mejores instrumentos para el desarrollo y crecimiento con el aprovechamiento del patrimonio artístico, histórico y cultural.</w:t>
      </w:r>
    </w:p>
    <w:p w:rsidR="000B7BB1" w:rsidRDefault="00DF4B03">
      <w:pPr>
        <w:numPr>
          <w:ilvl w:val="0"/>
          <w:numId w:val="1"/>
        </w:numPr>
        <w:pBdr>
          <w:top w:val="nil"/>
          <w:left w:val="nil"/>
          <w:bottom w:val="nil"/>
          <w:right w:val="nil"/>
          <w:between w:val="nil"/>
        </w:pBdr>
        <w:jc w:val="both"/>
        <w:rPr>
          <w:rFonts w:ascii="Century Gothic" w:eastAsia="Century Gothic" w:hAnsi="Century Gothic" w:cs="Century Gothic"/>
        </w:rPr>
      </w:pPr>
      <w:r>
        <w:rPr>
          <w:rFonts w:ascii="Century Gothic" w:eastAsia="Century Gothic" w:hAnsi="Century Gothic" w:cs="Century Gothic"/>
        </w:rPr>
        <w:t xml:space="preserve">Adquirir mejores oportunidades para el desarrollo turístico, histórico y cultural con </w:t>
      </w:r>
      <w:r w:rsidR="003A694C">
        <w:rPr>
          <w:rFonts w:ascii="Century Gothic" w:eastAsia="Century Gothic" w:hAnsi="Century Gothic" w:cs="Century Gothic"/>
        </w:rPr>
        <w:t>impulso de</w:t>
      </w:r>
      <w:r>
        <w:rPr>
          <w:rFonts w:ascii="Century Gothic" w:eastAsia="Century Gothic" w:hAnsi="Century Gothic" w:cs="Century Gothic"/>
        </w:rPr>
        <w:t xml:space="preserve"> la actividad empresarial e industrial.</w:t>
      </w:r>
    </w:p>
    <w:p w:rsidR="000B7BB1" w:rsidRDefault="00DF4B03">
      <w:pPr>
        <w:numPr>
          <w:ilvl w:val="0"/>
          <w:numId w:val="1"/>
        </w:numPr>
        <w:pBdr>
          <w:top w:val="nil"/>
          <w:left w:val="nil"/>
          <w:bottom w:val="nil"/>
          <w:right w:val="nil"/>
          <w:between w:val="nil"/>
        </w:pBdr>
        <w:jc w:val="both"/>
        <w:rPr>
          <w:rFonts w:ascii="Century Gothic" w:eastAsia="Century Gothic" w:hAnsi="Century Gothic" w:cs="Century Gothic"/>
        </w:rPr>
      </w:pPr>
      <w:r>
        <w:rPr>
          <w:rFonts w:ascii="Century Gothic" w:eastAsia="Century Gothic" w:hAnsi="Century Gothic" w:cs="Century Gothic"/>
        </w:rPr>
        <w:t>Fortalecerse en los procesos de descentralización.</w:t>
      </w:r>
    </w:p>
    <w:p w:rsidR="000B7BB1" w:rsidRPr="003A694C" w:rsidRDefault="00DF4B03" w:rsidP="003A694C">
      <w:pPr>
        <w:numPr>
          <w:ilvl w:val="0"/>
          <w:numId w:val="1"/>
        </w:numPr>
        <w:pBdr>
          <w:top w:val="nil"/>
          <w:left w:val="nil"/>
          <w:bottom w:val="nil"/>
          <w:right w:val="nil"/>
          <w:between w:val="nil"/>
        </w:pBdr>
        <w:spacing w:after="200"/>
        <w:jc w:val="both"/>
        <w:rPr>
          <w:rFonts w:ascii="Century Gothic" w:eastAsia="Century Gothic" w:hAnsi="Century Gothic" w:cs="Century Gothic"/>
        </w:rPr>
      </w:pPr>
      <w:r>
        <w:rPr>
          <w:rFonts w:ascii="Century Gothic" w:eastAsia="Century Gothic" w:hAnsi="Century Gothic" w:cs="Century Gothic"/>
        </w:rPr>
        <w:t>Mejorar la calidad de vida de sus habitantes.</w:t>
      </w:r>
    </w:p>
    <w:p w:rsidR="000B7BB1" w:rsidRDefault="00DF4B03">
      <w:pPr>
        <w:numPr>
          <w:ilvl w:val="0"/>
          <w:numId w:val="2"/>
        </w:numPr>
        <w:pBdr>
          <w:top w:val="nil"/>
          <w:left w:val="nil"/>
          <w:bottom w:val="nil"/>
          <w:right w:val="nil"/>
          <w:between w:val="nil"/>
        </w:pBdr>
        <w:spacing w:after="200"/>
        <w:rPr>
          <w:rFonts w:ascii="Century Gothic" w:eastAsia="Century Gothic" w:hAnsi="Century Gothic" w:cs="Century Gothic"/>
        </w:rPr>
      </w:pPr>
      <w:r>
        <w:rPr>
          <w:rFonts w:ascii="Century Gothic" w:eastAsia="Century Gothic" w:hAnsi="Century Gothic" w:cs="Century Gothic"/>
          <w:b/>
        </w:rPr>
        <w:t>MARCO JURÍDICO</w:t>
      </w:r>
    </w:p>
    <w:p w:rsidR="000B7BB1" w:rsidRDefault="00DF4B03">
      <w:pPr>
        <w:spacing w:before="240" w:after="240"/>
        <w:jc w:val="both"/>
        <w:rPr>
          <w:rFonts w:ascii="Century Gothic" w:eastAsia="Century Gothic" w:hAnsi="Century Gothic" w:cs="Century Gothic"/>
        </w:rPr>
      </w:pPr>
      <w:r>
        <w:rPr>
          <w:rFonts w:ascii="Century Gothic" w:eastAsia="Century Gothic" w:hAnsi="Century Gothic" w:cs="Century Gothic"/>
        </w:rPr>
        <w:t>Este Proyecto de Acto Legislativo por el cual se le otorga al municipio de Puerto Colombia la categoría de Distrito Turístico, Cultural e Histórico, cumple con lo establecido en los artículos 221, 222 y 223 numeral 2 de la Ley 5ª de 1992.</w:t>
      </w:r>
    </w:p>
    <w:p w:rsidR="000B7BB1" w:rsidRDefault="00DF4B03">
      <w:pPr>
        <w:spacing w:before="240" w:after="240"/>
        <w:jc w:val="both"/>
        <w:rPr>
          <w:rFonts w:ascii="Century Gothic" w:eastAsia="Century Gothic" w:hAnsi="Century Gothic" w:cs="Century Gothic"/>
        </w:rPr>
      </w:pPr>
      <w:r>
        <w:rPr>
          <w:rFonts w:ascii="Century Gothic" w:eastAsia="Century Gothic" w:hAnsi="Century Gothic" w:cs="Century Gothic"/>
        </w:rPr>
        <w:lastRenderedPageBreak/>
        <w:t>Cumple además con lo dispuesto en el artículo 114, de la Constitución Política, referente a las facultades del Congreso de la república en la reserva de modificar la Carta Política.</w:t>
      </w:r>
    </w:p>
    <w:p w:rsidR="000B7BB1" w:rsidRDefault="00DF4B03">
      <w:pPr>
        <w:spacing w:before="240" w:after="240"/>
        <w:jc w:val="both"/>
        <w:rPr>
          <w:rFonts w:ascii="Century Gothic" w:eastAsia="Century Gothic" w:hAnsi="Century Gothic" w:cs="Century Gothic"/>
        </w:rPr>
      </w:pPr>
      <w:r>
        <w:rPr>
          <w:rFonts w:ascii="Century Gothic" w:eastAsia="Century Gothic" w:hAnsi="Century Gothic" w:cs="Century Gothic"/>
          <w:b/>
          <w:i/>
        </w:rPr>
        <w:t xml:space="preserve">ARTÍCULO 114. </w:t>
      </w:r>
      <w:r>
        <w:rPr>
          <w:rFonts w:ascii="Century Gothic" w:eastAsia="Century Gothic" w:hAnsi="Century Gothic" w:cs="Century Gothic"/>
          <w:i/>
        </w:rPr>
        <w:t xml:space="preserve">Corresponde al Congreso de la República </w:t>
      </w:r>
      <w:r>
        <w:rPr>
          <w:rFonts w:ascii="Century Gothic" w:eastAsia="Century Gothic" w:hAnsi="Century Gothic" w:cs="Century Gothic"/>
          <w:i/>
          <w:u w:val="single"/>
        </w:rPr>
        <w:t xml:space="preserve">reformar la Constitución, </w:t>
      </w:r>
      <w:r>
        <w:rPr>
          <w:rFonts w:ascii="Century Gothic" w:eastAsia="Century Gothic" w:hAnsi="Century Gothic" w:cs="Century Gothic"/>
          <w:i/>
        </w:rPr>
        <w:t>hacer las leyes y ejercer control político sobre el gobierno y la administración.</w:t>
      </w:r>
    </w:p>
    <w:p w:rsidR="000B7BB1" w:rsidRDefault="00DF4B03">
      <w:pPr>
        <w:spacing w:before="240" w:after="240"/>
        <w:jc w:val="both"/>
        <w:rPr>
          <w:rFonts w:ascii="Century Gothic" w:eastAsia="Century Gothic" w:hAnsi="Century Gothic" w:cs="Century Gothic"/>
          <w:b/>
        </w:rPr>
      </w:pPr>
      <w:r>
        <w:rPr>
          <w:rFonts w:ascii="Century Gothic" w:eastAsia="Century Gothic" w:hAnsi="Century Gothic" w:cs="Century Gothic"/>
          <w:b/>
        </w:rPr>
        <w:t>Creación de distritos a través de actos legislativos:</w:t>
      </w:r>
    </w:p>
    <w:p w:rsidR="000B7BB1" w:rsidRDefault="00DF4B03">
      <w:pPr>
        <w:spacing w:before="240" w:after="240"/>
        <w:jc w:val="both"/>
        <w:rPr>
          <w:rFonts w:ascii="Century Gothic" w:eastAsia="Century Gothic" w:hAnsi="Century Gothic" w:cs="Century Gothic"/>
        </w:rPr>
      </w:pPr>
      <w:r>
        <w:rPr>
          <w:rFonts w:ascii="Century Gothic" w:eastAsia="Century Gothic" w:hAnsi="Century Gothic" w:cs="Century Gothic"/>
        </w:rPr>
        <w:t>Para este efecto, es necesario observar como contexto lo dispuesto por el artículo 286 de nuestra Carta Política al expresar que</w:t>
      </w:r>
      <w:r>
        <w:rPr>
          <w:rFonts w:ascii="Century Gothic" w:eastAsia="Century Gothic" w:hAnsi="Century Gothic" w:cs="Century Gothic"/>
          <w:i/>
        </w:rPr>
        <w:t>: “Son entidades territoriales los departamentos, los distritos, los municipios y los territorios indígenas”.</w:t>
      </w:r>
    </w:p>
    <w:p w:rsidR="000B7BB1" w:rsidRDefault="00DF4B03">
      <w:pPr>
        <w:spacing w:before="240" w:after="240"/>
        <w:jc w:val="both"/>
        <w:rPr>
          <w:rFonts w:ascii="Century Gothic" w:eastAsia="Century Gothic" w:hAnsi="Century Gothic" w:cs="Century Gothic"/>
        </w:rPr>
      </w:pPr>
      <w:r>
        <w:rPr>
          <w:rFonts w:ascii="Century Gothic" w:eastAsia="Century Gothic" w:hAnsi="Century Gothic" w:cs="Century Gothic"/>
        </w:rPr>
        <w:t>Dicho lo anterior, la Corte Constitucional en sentencia C- 494 de 2015 señaló que la creación de Distritos se podrá hacer a través de dos (2) mecanismos:</w:t>
      </w:r>
    </w:p>
    <w:p w:rsidR="000B7BB1" w:rsidRDefault="00DF4B03">
      <w:pPr>
        <w:spacing w:after="160"/>
        <w:ind w:left="280" w:right="340"/>
        <w:jc w:val="both"/>
        <w:rPr>
          <w:rFonts w:ascii="Century Gothic" w:eastAsia="Century Gothic" w:hAnsi="Century Gothic" w:cs="Century Gothic"/>
          <w:i/>
        </w:rPr>
      </w:pPr>
      <w:r>
        <w:rPr>
          <w:rFonts w:ascii="Century Gothic" w:eastAsia="Century Gothic" w:hAnsi="Century Gothic" w:cs="Century Gothic"/>
          <w:i/>
        </w:rPr>
        <w:t>En cuanto a la creación de distritos como entidades territoriales, se observa que en la actualidad estas entidades territoriales han surgido de dos maneras: i) voluntad directa del Constituyente de 1991, o; ii) por acto legislativo…</w:t>
      </w:r>
    </w:p>
    <w:p w:rsidR="000B7BB1" w:rsidRDefault="00DF4B03">
      <w:pPr>
        <w:spacing w:after="160"/>
        <w:ind w:left="280" w:right="340"/>
        <w:jc w:val="both"/>
        <w:rPr>
          <w:rFonts w:ascii="Century Gothic" w:eastAsia="Century Gothic" w:hAnsi="Century Gothic" w:cs="Century Gothic"/>
        </w:rPr>
      </w:pPr>
      <w:r>
        <w:rPr>
          <w:rFonts w:ascii="Century Gothic" w:eastAsia="Century Gothic" w:hAnsi="Century Gothic" w:cs="Century Gothic"/>
          <w:i/>
        </w:rPr>
        <w:t>La Corte ha precisado que el acto de creación, eliminación, modificación o fusión de los distritos corresponde al Legislador mediante ley, salvo que el mismo poder constituyente se ocupe de ello, “En suma, a diferencia del municipio, la existencia de la entidad territorial distrital y sus vicisitudes - creación, modificación, fusión, eliminación - depende del Congreso de la República, a través de la ley, de conformidad con el artículo 150, numeral 4 de la Carta, a menos que el propio poder constituyente se ocupe de ello (…)</w:t>
      </w:r>
      <w:r>
        <w:rPr>
          <w:rFonts w:ascii="Century Gothic" w:eastAsia="Century Gothic" w:hAnsi="Century Gothic" w:cs="Century Gothic"/>
        </w:rPr>
        <w:t xml:space="preserve"> (Subrayado fuera del texto).</w:t>
      </w:r>
    </w:p>
    <w:p w:rsidR="000B7BB1" w:rsidRDefault="00DF4B03">
      <w:pPr>
        <w:spacing w:before="240" w:after="240"/>
        <w:jc w:val="both"/>
        <w:rPr>
          <w:rFonts w:ascii="Century Gothic" w:eastAsia="Century Gothic" w:hAnsi="Century Gothic" w:cs="Century Gothic"/>
        </w:rPr>
      </w:pPr>
      <w:r>
        <w:rPr>
          <w:rFonts w:ascii="Century Gothic" w:eastAsia="Century Gothic" w:hAnsi="Century Gothic" w:cs="Century Gothic"/>
        </w:rPr>
        <w:t>Frente al trámite para la creación de un Distrito Especial a través de Acto Legislativo, y no exclusivamente bajo el procedimiento establecido en el artículo 8 de la Ley 1617 de 2013, es importante advertir que la Corte Constitucional mediante Sentencia C-313 de 2009, reconoció la virtualidad de un Acto Legislativo para crear un distrito.</w:t>
      </w:r>
    </w:p>
    <w:p w:rsidR="000B7BB1" w:rsidRDefault="00DF4B03">
      <w:pPr>
        <w:spacing w:before="240" w:after="240"/>
        <w:jc w:val="both"/>
        <w:rPr>
          <w:rFonts w:ascii="Century Gothic" w:eastAsia="Century Gothic" w:hAnsi="Century Gothic" w:cs="Century Gothic"/>
        </w:rPr>
      </w:pPr>
      <w:r>
        <w:rPr>
          <w:rFonts w:ascii="Century Gothic" w:eastAsia="Century Gothic" w:hAnsi="Century Gothic" w:cs="Century Gothic"/>
        </w:rPr>
        <w:lastRenderedPageBreak/>
        <w:t>Consideró el Alto Tribunal en la citada sentencia:</w:t>
      </w:r>
    </w:p>
    <w:p w:rsidR="000B7BB1" w:rsidRDefault="00DF4B03">
      <w:pPr>
        <w:spacing w:after="160"/>
        <w:ind w:left="280" w:right="200"/>
        <w:jc w:val="both"/>
        <w:rPr>
          <w:rFonts w:ascii="Century Gothic" w:eastAsia="Century Gothic" w:hAnsi="Century Gothic" w:cs="Century Gothic"/>
          <w:i/>
        </w:rPr>
      </w:pPr>
      <w:r>
        <w:rPr>
          <w:rFonts w:ascii="Century Gothic" w:eastAsia="Century Gothic" w:hAnsi="Century Gothic" w:cs="Century Gothic"/>
          <w:i/>
        </w:rPr>
        <w:t>“En suma, el acto de creación, eliminación, modificación o fusión de distritos, que debe consistir en una ley, se encuentra regido por otra norma legal, de naturaleza orgánica bajo cuyos parámetros se expide. Corresponde a tal norma legal establecer las “bases y condiciones” de existencia de los distritos y de otras entidades territoriales. Sólo que actualmente no existe en el ordenamiento jurídico una normatividad orgánica que predetermine tales “bases y condiciones”, vacío normativo que se ha suplido erigiendo municipios en distritos mediante acto constituyente o legislativo, como ocurría al amparo de la Constitución de 1886 con sus reformas”.</w:t>
      </w:r>
    </w:p>
    <w:p w:rsidR="000B7BB1" w:rsidRDefault="00DF4B03">
      <w:pPr>
        <w:spacing w:before="240" w:after="240"/>
        <w:jc w:val="both"/>
        <w:rPr>
          <w:rFonts w:ascii="Century Gothic" w:eastAsia="Century Gothic" w:hAnsi="Century Gothic" w:cs="Century Gothic"/>
        </w:rPr>
      </w:pPr>
      <w:r>
        <w:rPr>
          <w:rFonts w:ascii="Century Gothic" w:eastAsia="Century Gothic" w:hAnsi="Century Gothic" w:cs="Century Gothic"/>
        </w:rPr>
        <w:t>De tal abstracción jurisprudencial se colige que, la creación de los Distritos por poder constituyente es un acto anterior a la fijación de las bases y condiciones de existencia, las cuales ya fueron atendidas por la Ley con la expedición de la norma 1617 de 2013, modificada por el artículo 124 de la Ley 1955 de 2019.</w:t>
      </w:r>
    </w:p>
    <w:p w:rsidR="000B7BB1" w:rsidRDefault="00DF4B03">
      <w:pPr>
        <w:spacing w:before="240" w:after="240"/>
        <w:jc w:val="both"/>
        <w:rPr>
          <w:rFonts w:ascii="Century Gothic" w:eastAsia="Century Gothic" w:hAnsi="Century Gothic" w:cs="Century Gothic"/>
        </w:rPr>
      </w:pPr>
      <w:r>
        <w:rPr>
          <w:rFonts w:ascii="Century Gothic" w:eastAsia="Century Gothic" w:hAnsi="Century Gothic" w:cs="Century Gothic"/>
        </w:rPr>
        <w:t>El legislador no limitó el procedimiento a las disposiciones de esta ley, es decir, no señaló de manera expresa que sólo mediante ley ordinaria era posible crear una entidad distrital. Este argumento se refuerza en las consideraciones, ya mencionadas, de la Sentencia C-494 de 2015 en la cual aclaró la Corte Constitucional que la creación de Distritos especiales podrá hacerse a través del procedimiento de ley ordinaria o mediante el procedimiento de Acto Legislativo.</w:t>
      </w:r>
    </w:p>
    <w:p w:rsidR="000B7BB1" w:rsidRDefault="00DF4B03">
      <w:pPr>
        <w:spacing w:before="240" w:after="240"/>
        <w:jc w:val="both"/>
        <w:rPr>
          <w:rFonts w:ascii="Century Gothic" w:eastAsia="Century Gothic" w:hAnsi="Century Gothic" w:cs="Century Gothic"/>
          <w:b/>
        </w:rPr>
      </w:pPr>
      <w:r>
        <w:rPr>
          <w:rFonts w:ascii="Century Gothic" w:eastAsia="Century Gothic" w:hAnsi="Century Gothic" w:cs="Century Gothic"/>
          <w:b/>
        </w:rPr>
        <w:t>Marco legal – Distritos Especiales</w:t>
      </w:r>
    </w:p>
    <w:p w:rsidR="000B7BB1" w:rsidRDefault="00DF4B03">
      <w:pPr>
        <w:spacing w:before="240" w:after="240"/>
        <w:jc w:val="both"/>
        <w:rPr>
          <w:rFonts w:ascii="Century Gothic" w:eastAsia="Century Gothic" w:hAnsi="Century Gothic" w:cs="Century Gothic"/>
        </w:rPr>
      </w:pPr>
      <w:r>
        <w:rPr>
          <w:rFonts w:ascii="Century Gothic" w:eastAsia="Century Gothic" w:hAnsi="Century Gothic" w:cs="Century Gothic"/>
        </w:rPr>
        <w:t>La Ley 1454 de 2011, “Por la cual se dictan normas orgánicas sobre Ordenamiento Territorial y se modifican otras disposiciones”, en su Capítulo III, establece la distribución de competencias en materia de ordenamiento territorial. El artículo 29 establece que una entidad territorial al convertirse en distrito especial será competente para dividir el territorio distrital en localidades, de acuerdo a las características sociales de sus habitantes y atribuir competencias y funciones administrativas, así como también dirigir las demás actividades que por su carácter y denominación les corresponda.</w:t>
      </w:r>
    </w:p>
    <w:p w:rsidR="003A694C" w:rsidRPr="003A694C" w:rsidRDefault="00DF4B03">
      <w:pPr>
        <w:spacing w:before="240" w:after="240"/>
        <w:jc w:val="both"/>
        <w:rPr>
          <w:rFonts w:ascii="Century Gothic" w:eastAsia="Century Gothic" w:hAnsi="Century Gothic" w:cs="Century Gothic"/>
        </w:rPr>
      </w:pPr>
      <w:r>
        <w:rPr>
          <w:rFonts w:ascii="Century Gothic" w:eastAsia="Century Gothic" w:hAnsi="Century Gothic" w:cs="Century Gothic"/>
        </w:rPr>
        <w:lastRenderedPageBreak/>
        <w:t>Por su parte, la Ley 1617 de 2013, por la cual se expide “Régimen para los Distritos Especiales”, en Colombia, establece la estructura, organización y funcionamiento distrital; la organización administrativa y política del distrito; las disposiciones especiales de los distritos; el fomento de la cultura, la protección, recuperación y fomento de los bienes que integran el patrimonio artístico, histórico y cultural de los distritos; y el régimen fiscal de los distritos, entre otras.</w:t>
      </w:r>
    </w:p>
    <w:p w:rsidR="00543786" w:rsidRDefault="00157888">
      <w:pPr>
        <w:spacing w:after="200"/>
        <w:rPr>
          <w:rFonts w:ascii="Century Gothic" w:eastAsia="Century Gothic" w:hAnsi="Century Gothic" w:cs="Century Gothic"/>
          <w:b/>
        </w:rPr>
      </w:pPr>
      <w:r>
        <w:rPr>
          <w:rFonts w:ascii="Century Gothic" w:eastAsia="Century Gothic" w:hAnsi="Century Gothic" w:cs="Century Gothic"/>
          <w:b/>
        </w:rPr>
        <w:t>V. PLIEGO DE MODIFICACIONES</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977"/>
        <w:gridCol w:w="2835"/>
      </w:tblGrid>
      <w:tr w:rsidR="00410005" w:rsidTr="00410005">
        <w:tc>
          <w:tcPr>
            <w:tcW w:w="2972" w:type="dxa"/>
            <w:vAlign w:val="center"/>
          </w:tcPr>
          <w:p w:rsidR="00410005" w:rsidRDefault="00410005" w:rsidP="00410005">
            <w:pPr>
              <w:pBdr>
                <w:top w:val="nil"/>
                <w:left w:val="nil"/>
                <w:bottom w:val="nil"/>
                <w:right w:val="nil"/>
                <w:between w:val="nil"/>
              </w:pBdr>
              <w:spacing w:after="200"/>
              <w:jc w:val="center"/>
              <w:rPr>
                <w:rFonts w:ascii="Century Gothic" w:eastAsia="Century Gothic" w:hAnsi="Century Gothic" w:cs="Century Gothic"/>
                <w:b/>
                <w:color w:val="000000"/>
              </w:rPr>
            </w:pPr>
            <w:r>
              <w:rPr>
                <w:rFonts w:ascii="Century Gothic" w:eastAsia="Century Gothic" w:hAnsi="Century Gothic" w:cs="Century Gothic"/>
                <w:b/>
                <w:color w:val="000000"/>
              </w:rPr>
              <w:t>TEXTO RADICADO DEL PROYECTO DE ACTO LEGISLATIVO No. 242 DE 2019 CÁMARA</w:t>
            </w:r>
          </w:p>
        </w:tc>
        <w:tc>
          <w:tcPr>
            <w:tcW w:w="2977" w:type="dxa"/>
            <w:vAlign w:val="center"/>
          </w:tcPr>
          <w:p w:rsidR="00410005" w:rsidRDefault="00410005" w:rsidP="00410005">
            <w:pPr>
              <w:pBdr>
                <w:top w:val="nil"/>
                <w:left w:val="nil"/>
                <w:bottom w:val="nil"/>
                <w:right w:val="nil"/>
                <w:between w:val="nil"/>
              </w:pBdr>
              <w:spacing w:after="200"/>
              <w:jc w:val="center"/>
              <w:rPr>
                <w:rFonts w:ascii="Century Gothic" w:eastAsia="Century Gothic" w:hAnsi="Century Gothic" w:cs="Century Gothic"/>
                <w:b/>
                <w:color w:val="000000"/>
              </w:rPr>
            </w:pPr>
            <w:r>
              <w:rPr>
                <w:rFonts w:ascii="Century Gothic" w:eastAsia="Century Gothic" w:hAnsi="Century Gothic" w:cs="Century Gothic"/>
                <w:b/>
                <w:color w:val="000000"/>
              </w:rPr>
              <w:t>TEXTO PROPUESTO PARA PRIMER DEBATE DEL PROYECTO DE ACTO LEGISLATIVO No. 242 DE 2019 CÁMARA</w:t>
            </w:r>
          </w:p>
        </w:tc>
        <w:tc>
          <w:tcPr>
            <w:tcW w:w="2835" w:type="dxa"/>
            <w:vAlign w:val="center"/>
          </w:tcPr>
          <w:p w:rsidR="00410005" w:rsidRDefault="00410005" w:rsidP="00410005">
            <w:pPr>
              <w:pBdr>
                <w:top w:val="nil"/>
                <w:left w:val="nil"/>
                <w:bottom w:val="nil"/>
                <w:right w:val="nil"/>
                <w:between w:val="nil"/>
              </w:pBdr>
              <w:spacing w:after="200"/>
              <w:jc w:val="center"/>
              <w:rPr>
                <w:rFonts w:ascii="Century Gothic" w:eastAsia="Century Gothic" w:hAnsi="Century Gothic" w:cs="Century Gothic"/>
                <w:b/>
                <w:color w:val="000000"/>
              </w:rPr>
            </w:pPr>
            <w:r>
              <w:rPr>
                <w:rFonts w:ascii="Century Gothic" w:eastAsia="Century Gothic" w:hAnsi="Century Gothic" w:cs="Century Gothic"/>
                <w:b/>
                <w:color w:val="000000"/>
              </w:rPr>
              <w:t>JUSTIFICACIÓN</w:t>
            </w:r>
          </w:p>
        </w:tc>
      </w:tr>
      <w:tr w:rsidR="00410005" w:rsidTr="00302A33">
        <w:trPr>
          <w:trHeight w:val="2400"/>
        </w:trPr>
        <w:tc>
          <w:tcPr>
            <w:tcW w:w="2972" w:type="dxa"/>
          </w:tcPr>
          <w:p w:rsidR="00410005" w:rsidRPr="00157888" w:rsidRDefault="00410005" w:rsidP="00410005">
            <w:pPr>
              <w:pBdr>
                <w:top w:val="nil"/>
                <w:left w:val="nil"/>
                <w:bottom w:val="nil"/>
                <w:right w:val="nil"/>
                <w:between w:val="nil"/>
              </w:pBdr>
              <w:spacing w:after="200"/>
              <w:jc w:val="center"/>
              <w:rPr>
                <w:rFonts w:ascii="Century Gothic" w:eastAsia="Century Gothic" w:hAnsi="Century Gothic" w:cs="Century Gothic"/>
                <w:i/>
                <w:color w:val="000000"/>
              </w:rPr>
            </w:pPr>
            <w:r w:rsidRPr="00157888">
              <w:rPr>
                <w:rFonts w:ascii="Century Gothic" w:eastAsia="Century Gothic" w:hAnsi="Century Gothic" w:cs="Century Gothic"/>
                <w:i/>
                <w:color w:val="000000"/>
              </w:rPr>
              <w:t>“Por el cual se modifican los artículos 328 y 356 de la constitución política otorgándole la categoría de Distrito Turístico, Cultural e Histórico al municipio de Puerto Colombia en el Departamento del Atlántico.”</w:t>
            </w:r>
          </w:p>
        </w:tc>
        <w:tc>
          <w:tcPr>
            <w:tcW w:w="2977" w:type="dxa"/>
            <w:vAlign w:val="center"/>
          </w:tcPr>
          <w:p w:rsidR="00410005" w:rsidRPr="00157888" w:rsidRDefault="00302A33" w:rsidP="00410005">
            <w:pPr>
              <w:pBdr>
                <w:top w:val="nil"/>
                <w:left w:val="nil"/>
                <w:bottom w:val="nil"/>
                <w:right w:val="nil"/>
                <w:between w:val="nil"/>
              </w:pBdr>
              <w:spacing w:after="200"/>
              <w:jc w:val="center"/>
              <w:rPr>
                <w:rFonts w:ascii="Century Gothic" w:eastAsia="Century Gothic" w:hAnsi="Century Gothic" w:cs="Century Gothic"/>
                <w:i/>
                <w:color w:val="000000"/>
              </w:rPr>
            </w:pPr>
            <w:r>
              <w:rPr>
                <w:rFonts w:ascii="Century Gothic" w:eastAsia="Century Gothic" w:hAnsi="Century Gothic" w:cs="Century Gothic"/>
                <w:i/>
                <w:color w:val="000000"/>
              </w:rPr>
              <w:t>Sin modificaciones</w:t>
            </w:r>
          </w:p>
        </w:tc>
        <w:tc>
          <w:tcPr>
            <w:tcW w:w="2835" w:type="dxa"/>
            <w:vAlign w:val="center"/>
          </w:tcPr>
          <w:p w:rsidR="00410005" w:rsidRPr="00157888" w:rsidRDefault="00302A33" w:rsidP="00410005">
            <w:pPr>
              <w:pBdr>
                <w:top w:val="nil"/>
                <w:left w:val="nil"/>
                <w:bottom w:val="nil"/>
                <w:right w:val="nil"/>
                <w:between w:val="nil"/>
              </w:pBdr>
              <w:spacing w:after="200"/>
              <w:jc w:val="center"/>
              <w:rPr>
                <w:rFonts w:ascii="Century Gothic" w:eastAsia="Century Gothic" w:hAnsi="Century Gothic" w:cs="Century Gothic"/>
                <w:i/>
                <w:color w:val="000000"/>
              </w:rPr>
            </w:pPr>
            <w:r>
              <w:rPr>
                <w:rFonts w:ascii="Century Gothic" w:eastAsia="Century Gothic" w:hAnsi="Century Gothic" w:cs="Century Gothic"/>
                <w:i/>
                <w:color w:val="000000"/>
              </w:rPr>
              <w:t>Sin modificaciones</w:t>
            </w:r>
          </w:p>
        </w:tc>
      </w:tr>
      <w:tr w:rsidR="00410005" w:rsidTr="00410005">
        <w:tc>
          <w:tcPr>
            <w:tcW w:w="2972" w:type="dxa"/>
          </w:tcPr>
          <w:p w:rsidR="00410005" w:rsidRDefault="00410005" w:rsidP="00410005">
            <w:pPr>
              <w:jc w:val="both"/>
              <w:rPr>
                <w:rFonts w:ascii="Century Gothic" w:eastAsia="Century Gothic" w:hAnsi="Century Gothic" w:cs="Century Gothic"/>
              </w:rPr>
            </w:pPr>
            <w:r>
              <w:rPr>
                <w:rFonts w:ascii="Century Gothic" w:eastAsia="Century Gothic" w:hAnsi="Century Gothic" w:cs="Century Gothic"/>
                <w:b/>
              </w:rPr>
              <w:t xml:space="preserve">Artículo </w:t>
            </w:r>
            <w:r w:rsidRPr="00410005">
              <w:rPr>
                <w:rFonts w:ascii="Century Gothic" w:eastAsia="Century Gothic" w:hAnsi="Century Gothic" w:cs="Century Gothic"/>
                <w:b/>
                <w:strike/>
              </w:rPr>
              <w:t>1º</w:t>
            </w:r>
            <w:r>
              <w:rPr>
                <w:rFonts w:ascii="Century Gothic" w:eastAsia="Century Gothic" w:hAnsi="Century Gothic" w:cs="Century Gothic"/>
                <w:b/>
              </w:rPr>
              <w:t xml:space="preserve"> 2.  </w:t>
            </w:r>
            <w:r>
              <w:rPr>
                <w:rFonts w:ascii="Century Gothic" w:eastAsia="Century Gothic" w:hAnsi="Century Gothic" w:cs="Century Gothic"/>
              </w:rPr>
              <w:t>Adiciónese el siguiente inciso al artículo 356 de la Constitución Política, el cual quedará de la siguiente manera:</w:t>
            </w:r>
          </w:p>
          <w:p w:rsidR="00410005" w:rsidRDefault="00410005" w:rsidP="00410005">
            <w:pPr>
              <w:jc w:val="both"/>
              <w:rPr>
                <w:rFonts w:ascii="Century Gothic" w:eastAsia="Century Gothic" w:hAnsi="Century Gothic" w:cs="Century Gothic"/>
              </w:rPr>
            </w:pPr>
            <w:r>
              <w:rPr>
                <w:rFonts w:ascii="Century Gothic" w:eastAsia="Century Gothic" w:hAnsi="Century Gothic" w:cs="Century Gothic"/>
              </w:rPr>
              <w:t xml:space="preserve"> </w:t>
            </w:r>
          </w:p>
          <w:p w:rsidR="00410005" w:rsidRDefault="00410005" w:rsidP="00410005">
            <w:pPr>
              <w:jc w:val="both"/>
              <w:rPr>
                <w:rFonts w:ascii="Century Gothic" w:eastAsia="Century Gothic" w:hAnsi="Century Gothic" w:cs="Century Gothic"/>
              </w:rPr>
            </w:pPr>
            <w:r>
              <w:rPr>
                <w:rFonts w:ascii="Century Gothic" w:eastAsia="Century Gothic" w:hAnsi="Century Gothic" w:cs="Century Gothic"/>
              </w:rPr>
              <w:t xml:space="preserve">El municipio de Puerto Colombia se organiza como Distrito Turístico, </w:t>
            </w:r>
            <w:r>
              <w:rPr>
                <w:rFonts w:ascii="Century Gothic" w:eastAsia="Century Gothic" w:hAnsi="Century Gothic" w:cs="Century Gothic"/>
              </w:rPr>
              <w:lastRenderedPageBreak/>
              <w:t>Cultural e Histórico. Su régimen político, fiscal y administrativo serán los que determinen la Constitución y las leyes especiales que se dicten sobre la materia, y en lo no dispuesto en ellas, serán las normas vigentes para los municipios.</w:t>
            </w:r>
          </w:p>
          <w:p w:rsidR="00410005" w:rsidRPr="00157888" w:rsidRDefault="00410005" w:rsidP="00410005">
            <w:pPr>
              <w:jc w:val="both"/>
              <w:rPr>
                <w:rFonts w:ascii="Century Gothic" w:eastAsia="Century Gothic" w:hAnsi="Century Gothic" w:cs="Century Gothic"/>
              </w:rPr>
            </w:pPr>
          </w:p>
        </w:tc>
        <w:tc>
          <w:tcPr>
            <w:tcW w:w="2977" w:type="dxa"/>
          </w:tcPr>
          <w:p w:rsidR="00410005" w:rsidRDefault="00410005" w:rsidP="00410005">
            <w:pPr>
              <w:jc w:val="both"/>
              <w:rPr>
                <w:rFonts w:ascii="Century Gothic" w:eastAsia="Century Gothic" w:hAnsi="Century Gothic" w:cs="Century Gothic"/>
              </w:rPr>
            </w:pPr>
            <w:r>
              <w:rPr>
                <w:rFonts w:ascii="Century Gothic" w:eastAsia="Century Gothic" w:hAnsi="Century Gothic" w:cs="Century Gothic"/>
                <w:b/>
              </w:rPr>
              <w:lastRenderedPageBreak/>
              <w:t xml:space="preserve">Artículo 1º.  </w:t>
            </w:r>
            <w:r>
              <w:rPr>
                <w:rFonts w:ascii="Century Gothic" w:eastAsia="Century Gothic" w:hAnsi="Century Gothic" w:cs="Century Gothic"/>
              </w:rPr>
              <w:t>Modifíquese el artículo 328 de la Constitución Política, el cual quedará de la siguiente manera:</w:t>
            </w:r>
          </w:p>
          <w:p w:rsidR="00410005" w:rsidRDefault="00410005" w:rsidP="00410005">
            <w:pPr>
              <w:pBdr>
                <w:top w:val="nil"/>
                <w:left w:val="nil"/>
                <w:bottom w:val="nil"/>
                <w:right w:val="nil"/>
                <w:between w:val="nil"/>
              </w:pBdr>
              <w:spacing w:after="200"/>
              <w:jc w:val="both"/>
              <w:rPr>
                <w:rFonts w:ascii="Century Gothic" w:eastAsia="Century Gothic" w:hAnsi="Century Gothic" w:cs="Century Gothic"/>
                <w:b/>
                <w:color w:val="000000"/>
              </w:rPr>
            </w:pPr>
          </w:p>
          <w:p w:rsidR="00410005" w:rsidRPr="00410005" w:rsidRDefault="00410005" w:rsidP="00410005">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Distrito Turístico y Cultural de Cartagena de Indias, el Distrito </w:t>
            </w:r>
            <w:r>
              <w:rPr>
                <w:rFonts w:ascii="Century Gothic" w:eastAsia="Century Gothic" w:hAnsi="Century Gothic" w:cs="Century Gothic"/>
                <w:color w:val="000000"/>
              </w:rPr>
              <w:lastRenderedPageBreak/>
              <w:t xml:space="preserve">Turístico, Cultural e Histórico de Santa Marta, </w:t>
            </w:r>
            <w:r>
              <w:rPr>
                <w:rFonts w:ascii="Century Gothic" w:eastAsia="Century Gothic" w:hAnsi="Century Gothic" w:cs="Century Gothic"/>
                <w:b/>
                <w:color w:val="000000"/>
              </w:rPr>
              <w:t>Puerto Colombia</w:t>
            </w:r>
            <w:r>
              <w:rPr>
                <w:rFonts w:ascii="Century Gothic" w:eastAsia="Century Gothic" w:hAnsi="Century Gothic" w:cs="Century Gothic"/>
                <w:color w:val="000000"/>
              </w:rPr>
              <w:t xml:space="preserve"> y Barranquilla conservarán su régimen y carácter, y se organiza a Buenaventura y Tumaco como Distrito Especial, Industrial, Portuario, Biodiverso y Ecoturístico. </w:t>
            </w:r>
          </w:p>
        </w:tc>
        <w:tc>
          <w:tcPr>
            <w:tcW w:w="2835" w:type="dxa"/>
          </w:tcPr>
          <w:p w:rsidR="00410005" w:rsidRDefault="00410005" w:rsidP="00410005">
            <w:pPr>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Se modifica el orden de los artículos 1º y 2º, por técnica y estética legislativa, para que las modificaciones constitucionales sean consecutivas. </w:t>
            </w:r>
          </w:p>
          <w:p w:rsidR="00410005" w:rsidRDefault="00410005" w:rsidP="00410005">
            <w:pPr>
              <w:jc w:val="both"/>
              <w:rPr>
                <w:rFonts w:ascii="Century Gothic" w:eastAsia="Century Gothic" w:hAnsi="Century Gothic" w:cs="Century Gothic"/>
                <w:color w:val="000000"/>
              </w:rPr>
            </w:pPr>
          </w:p>
          <w:p w:rsidR="00410005" w:rsidRPr="00410005" w:rsidRDefault="00410005" w:rsidP="00410005">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Adicionalmente se precisa la </w:t>
            </w:r>
            <w:r>
              <w:rPr>
                <w:rFonts w:ascii="Century Gothic" w:eastAsia="Century Gothic" w:hAnsi="Century Gothic" w:cs="Century Gothic"/>
                <w:color w:val="000000"/>
              </w:rPr>
              <w:lastRenderedPageBreak/>
              <w:t>modificación propuesta, con el fin de hacer coherente la modificación con el artículo de la Constitución Política vigente.</w:t>
            </w:r>
          </w:p>
        </w:tc>
      </w:tr>
      <w:tr w:rsidR="00302A33" w:rsidTr="00410005">
        <w:tc>
          <w:tcPr>
            <w:tcW w:w="2972" w:type="dxa"/>
          </w:tcPr>
          <w:p w:rsidR="00302A33" w:rsidRDefault="00302A33" w:rsidP="00302A33">
            <w:pPr>
              <w:jc w:val="both"/>
              <w:rPr>
                <w:rFonts w:ascii="Century Gothic" w:eastAsia="Century Gothic" w:hAnsi="Century Gothic" w:cs="Century Gothic"/>
              </w:rPr>
            </w:pPr>
            <w:r>
              <w:rPr>
                <w:rFonts w:ascii="Century Gothic" w:eastAsia="Century Gothic" w:hAnsi="Century Gothic" w:cs="Century Gothic"/>
                <w:b/>
              </w:rPr>
              <w:lastRenderedPageBreak/>
              <w:t xml:space="preserve">Artículo </w:t>
            </w:r>
            <w:r w:rsidRPr="00302A33">
              <w:rPr>
                <w:rFonts w:ascii="Century Gothic" w:eastAsia="Century Gothic" w:hAnsi="Century Gothic" w:cs="Century Gothic"/>
                <w:b/>
                <w:strike/>
              </w:rPr>
              <w:t>2º</w:t>
            </w:r>
            <w:r>
              <w:rPr>
                <w:rFonts w:ascii="Century Gothic" w:eastAsia="Century Gothic" w:hAnsi="Century Gothic" w:cs="Century Gothic"/>
                <w:b/>
              </w:rPr>
              <w:t xml:space="preserve"> 1.  </w:t>
            </w:r>
            <w:r>
              <w:rPr>
                <w:rFonts w:ascii="Century Gothic" w:eastAsia="Century Gothic" w:hAnsi="Century Gothic" w:cs="Century Gothic"/>
              </w:rPr>
              <w:t>Adiciónese el siguiente inciso al artículo 328 de la Constitución Política, el cual quedará de la siguiente manera:</w:t>
            </w:r>
          </w:p>
          <w:p w:rsidR="00302A33" w:rsidRDefault="00302A33" w:rsidP="00302A33">
            <w:pPr>
              <w:jc w:val="both"/>
              <w:rPr>
                <w:rFonts w:ascii="Century Gothic" w:eastAsia="Century Gothic" w:hAnsi="Century Gothic" w:cs="Century Gothic"/>
              </w:rPr>
            </w:pPr>
            <w:r>
              <w:rPr>
                <w:rFonts w:ascii="Century Gothic" w:eastAsia="Century Gothic" w:hAnsi="Century Gothic" w:cs="Century Gothic"/>
              </w:rPr>
              <w:t xml:space="preserve"> </w:t>
            </w:r>
          </w:p>
          <w:p w:rsidR="00302A33" w:rsidRDefault="00302A33" w:rsidP="00302A33">
            <w:pPr>
              <w:jc w:val="both"/>
              <w:rPr>
                <w:rFonts w:ascii="Century Gothic" w:eastAsia="Century Gothic" w:hAnsi="Century Gothic" w:cs="Century Gothic"/>
              </w:rPr>
            </w:pPr>
            <w:r>
              <w:rPr>
                <w:rFonts w:ascii="Century Gothic" w:eastAsia="Century Gothic" w:hAnsi="Century Gothic" w:cs="Century Gothic"/>
              </w:rPr>
              <w:t>(…)  El municipio de Puerto Colombia se organiza como Distrito Turístico, Cultural e Histórico. Sus autoridades junto con las autoridades nacionales podrán establecer estrategias de articulación para el aprovechamiento del desarrollo.</w:t>
            </w:r>
          </w:p>
          <w:p w:rsidR="00302A33" w:rsidRDefault="00302A33" w:rsidP="00302A33">
            <w:pPr>
              <w:pBdr>
                <w:top w:val="nil"/>
                <w:left w:val="nil"/>
                <w:bottom w:val="nil"/>
                <w:right w:val="nil"/>
                <w:between w:val="nil"/>
              </w:pBdr>
              <w:spacing w:after="200"/>
              <w:jc w:val="both"/>
              <w:rPr>
                <w:rFonts w:ascii="Century Gothic" w:eastAsia="Century Gothic" w:hAnsi="Century Gothic" w:cs="Century Gothic"/>
                <w:b/>
                <w:color w:val="000000"/>
              </w:rPr>
            </w:pPr>
          </w:p>
        </w:tc>
        <w:tc>
          <w:tcPr>
            <w:tcW w:w="2977" w:type="dxa"/>
          </w:tcPr>
          <w:p w:rsidR="00302A33" w:rsidRDefault="00302A33" w:rsidP="00302A33">
            <w:pPr>
              <w:jc w:val="both"/>
              <w:rPr>
                <w:rFonts w:ascii="Century Gothic" w:eastAsia="Century Gothic" w:hAnsi="Century Gothic" w:cs="Century Gothic"/>
              </w:rPr>
            </w:pPr>
            <w:r>
              <w:rPr>
                <w:rFonts w:ascii="Century Gothic" w:eastAsia="Century Gothic" w:hAnsi="Century Gothic" w:cs="Century Gothic"/>
                <w:b/>
              </w:rPr>
              <w:t xml:space="preserve">Artículo 2.  </w:t>
            </w:r>
            <w:r>
              <w:rPr>
                <w:rFonts w:ascii="Century Gothic" w:eastAsia="Century Gothic" w:hAnsi="Century Gothic" w:cs="Century Gothic"/>
              </w:rPr>
              <w:t>Modifíquese el siguiente inciso del artículo 356 de la Constitución Política, el cual quedará de la siguiente manera:</w:t>
            </w:r>
          </w:p>
          <w:p w:rsidR="00302A33" w:rsidRDefault="00302A33" w:rsidP="00302A33">
            <w:pPr>
              <w:jc w:val="both"/>
              <w:rPr>
                <w:rFonts w:ascii="Century Gothic" w:eastAsia="Century Gothic" w:hAnsi="Century Gothic" w:cs="Century Gothic"/>
              </w:rPr>
            </w:pPr>
            <w:r>
              <w:rPr>
                <w:rFonts w:ascii="Century Gothic" w:eastAsia="Century Gothic" w:hAnsi="Century Gothic" w:cs="Century Gothic"/>
              </w:rPr>
              <w:t xml:space="preserve"> </w:t>
            </w:r>
          </w:p>
          <w:p w:rsidR="00302A33" w:rsidRDefault="00302A33" w:rsidP="00302A33">
            <w:pPr>
              <w:jc w:val="both"/>
              <w:rPr>
                <w:rFonts w:ascii="Century Gothic" w:eastAsia="Century Gothic" w:hAnsi="Century Gothic" w:cs="Century Gothic"/>
              </w:rPr>
            </w:pPr>
            <w:r>
              <w:rPr>
                <w:rFonts w:ascii="Century Gothic" w:eastAsia="Century Gothic" w:hAnsi="Century Gothic" w:cs="Century Gothic"/>
              </w:rPr>
              <w:t xml:space="preserve">Las ciudades de Buenaventura y Tumaco se organizan como Distrito Especiales, Industriales, Portuarios, Biodiversos y Ecoturísticos. </w:t>
            </w:r>
            <w:r w:rsidRPr="00302A33">
              <w:rPr>
                <w:rFonts w:ascii="Century Gothic" w:eastAsia="Century Gothic" w:hAnsi="Century Gothic" w:cs="Century Gothic"/>
                <w:b/>
              </w:rPr>
              <w:t>El municipio de Puerto Colombia se organiza como Distrito Turístico, Cultural e Histórico.</w:t>
            </w:r>
            <w:r>
              <w:rPr>
                <w:rFonts w:ascii="Century Gothic" w:eastAsia="Century Gothic" w:hAnsi="Century Gothic" w:cs="Century Gothic"/>
              </w:rPr>
              <w:t xml:space="preserve"> </w:t>
            </w:r>
            <w:r w:rsidRPr="00302A33">
              <w:rPr>
                <w:rFonts w:ascii="Century Gothic" w:eastAsia="Century Gothic" w:hAnsi="Century Gothic" w:cs="Century Gothic"/>
              </w:rPr>
              <w:t xml:space="preserve">Su régimen político, fiscal y administrativo serán los que determinen la Constitución y las leyes especiales que se dicten sobre la materia, </w:t>
            </w:r>
            <w:r w:rsidRPr="00302A33">
              <w:rPr>
                <w:rFonts w:ascii="Century Gothic" w:eastAsia="Century Gothic" w:hAnsi="Century Gothic" w:cs="Century Gothic"/>
              </w:rPr>
              <w:lastRenderedPageBreak/>
              <w:t>y en lo no dispuesto en ellas, serán las normas vigentes para los municipios.</w:t>
            </w:r>
          </w:p>
          <w:p w:rsidR="00302A33" w:rsidRPr="00157888" w:rsidRDefault="00302A33" w:rsidP="00302A33">
            <w:pPr>
              <w:jc w:val="both"/>
              <w:rPr>
                <w:rFonts w:ascii="Century Gothic" w:eastAsia="Century Gothic" w:hAnsi="Century Gothic" w:cs="Century Gothic"/>
              </w:rPr>
            </w:pPr>
          </w:p>
        </w:tc>
        <w:tc>
          <w:tcPr>
            <w:tcW w:w="2835" w:type="dxa"/>
          </w:tcPr>
          <w:p w:rsidR="00302A33" w:rsidRDefault="00302A33" w:rsidP="00302A33">
            <w:pPr>
              <w:pBdr>
                <w:top w:val="nil"/>
                <w:left w:val="nil"/>
                <w:bottom w:val="nil"/>
                <w:right w:val="nil"/>
                <w:between w:val="nil"/>
              </w:pBdr>
              <w:spacing w:after="200"/>
              <w:jc w:val="both"/>
              <w:rPr>
                <w:rFonts w:ascii="Century Gothic" w:eastAsia="Century Gothic" w:hAnsi="Century Gothic" w:cs="Century Gothic"/>
              </w:rPr>
            </w:pPr>
            <w:r>
              <w:rPr>
                <w:rFonts w:ascii="Century Gothic" w:eastAsia="Century Gothic" w:hAnsi="Century Gothic" w:cs="Century Gothic"/>
                <w:color w:val="000000"/>
              </w:rPr>
              <w:lastRenderedPageBreak/>
              <w:t>Se precisa la modificación propuesta, con el fin de hacer coherente la modificación con el artículo de la Constitución Política vigente.</w:t>
            </w:r>
          </w:p>
        </w:tc>
      </w:tr>
      <w:tr w:rsidR="00302A33" w:rsidTr="009F1FC4">
        <w:tc>
          <w:tcPr>
            <w:tcW w:w="2972" w:type="dxa"/>
          </w:tcPr>
          <w:p w:rsidR="00302A33" w:rsidRPr="00302A33" w:rsidRDefault="00302A33" w:rsidP="00302A33">
            <w:pPr>
              <w:jc w:val="both"/>
              <w:rPr>
                <w:rFonts w:ascii="Arial" w:eastAsia="Arial" w:hAnsi="Arial" w:cs="Arial"/>
                <w:b/>
              </w:rPr>
            </w:pPr>
            <w:r>
              <w:rPr>
                <w:rFonts w:ascii="Century Gothic" w:eastAsia="Century Gothic" w:hAnsi="Century Gothic" w:cs="Century Gothic"/>
                <w:b/>
              </w:rPr>
              <w:lastRenderedPageBreak/>
              <w:t xml:space="preserve">Artículo 3º.  </w:t>
            </w:r>
            <w:r>
              <w:rPr>
                <w:rFonts w:ascii="Century Gothic" w:eastAsia="Century Gothic" w:hAnsi="Century Gothic" w:cs="Century Gothic"/>
              </w:rPr>
              <w:t>El presente Acto Legislativo rige a partir de su promulgación.</w:t>
            </w:r>
          </w:p>
        </w:tc>
        <w:tc>
          <w:tcPr>
            <w:tcW w:w="2977" w:type="dxa"/>
            <w:vAlign w:val="center"/>
          </w:tcPr>
          <w:p w:rsidR="00302A33" w:rsidRPr="00157888" w:rsidRDefault="00302A33" w:rsidP="00302A33">
            <w:pPr>
              <w:pBdr>
                <w:top w:val="nil"/>
                <w:left w:val="nil"/>
                <w:bottom w:val="nil"/>
                <w:right w:val="nil"/>
                <w:between w:val="nil"/>
              </w:pBdr>
              <w:spacing w:after="200"/>
              <w:jc w:val="center"/>
              <w:rPr>
                <w:rFonts w:ascii="Century Gothic" w:eastAsia="Century Gothic" w:hAnsi="Century Gothic" w:cs="Century Gothic"/>
                <w:i/>
                <w:color w:val="000000"/>
              </w:rPr>
            </w:pPr>
            <w:r>
              <w:rPr>
                <w:rFonts w:ascii="Century Gothic" w:eastAsia="Century Gothic" w:hAnsi="Century Gothic" w:cs="Century Gothic"/>
                <w:i/>
                <w:color w:val="000000"/>
              </w:rPr>
              <w:t>Sin modificaciones</w:t>
            </w:r>
          </w:p>
        </w:tc>
        <w:tc>
          <w:tcPr>
            <w:tcW w:w="2835" w:type="dxa"/>
            <w:vAlign w:val="center"/>
          </w:tcPr>
          <w:p w:rsidR="00302A33" w:rsidRPr="00157888" w:rsidRDefault="00302A33" w:rsidP="00302A33">
            <w:pPr>
              <w:pBdr>
                <w:top w:val="nil"/>
                <w:left w:val="nil"/>
                <w:bottom w:val="nil"/>
                <w:right w:val="nil"/>
                <w:between w:val="nil"/>
              </w:pBdr>
              <w:spacing w:after="200"/>
              <w:jc w:val="center"/>
              <w:rPr>
                <w:rFonts w:ascii="Century Gothic" w:eastAsia="Century Gothic" w:hAnsi="Century Gothic" w:cs="Century Gothic"/>
                <w:i/>
                <w:color w:val="000000"/>
              </w:rPr>
            </w:pPr>
            <w:r>
              <w:rPr>
                <w:rFonts w:ascii="Century Gothic" w:eastAsia="Century Gothic" w:hAnsi="Century Gothic" w:cs="Century Gothic"/>
                <w:i/>
                <w:color w:val="000000"/>
              </w:rPr>
              <w:t>Sin modificaciones</w:t>
            </w:r>
          </w:p>
        </w:tc>
      </w:tr>
    </w:tbl>
    <w:p w:rsidR="00157888" w:rsidRDefault="00157888">
      <w:pPr>
        <w:spacing w:after="200"/>
        <w:rPr>
          <w:rFonts w:ascii="Century Gothic" w:eastAsia="Century Gothic" w:hAnsi="Century Gothic" w:cs="Century Gothic"/>
          <w:b/>
        </w:rPr>
      </w:pPr>
    </w:p>
    <w:p w:rsidR="00157888" w:rsidRDefault="00157888">
      <w:pPr>
        <w:spacing w:after="200"/>
        <w:rPr>
          <w:rFonts w:ascii="Century Gothic" w:eastAsia="Century Gothic" w:hAnsi="Century Gothic" w:cs="Century Gothic"/>
          <w:b/>
        </w:rPr>
      </w:pPr>
    </w:p>
    <w:p w:rsidR="000B7BB1" w:rsidRDefault="00DF4B03">
      <w:pPr>
        <w:spacing w:after="200"/>
        <w:rPr>
          <w:rFonts w:ascii="Century Gothic" w:eastAsia="Century Gothic" w:hAnsi="Century Gothic" w:cs="Century Gothic"/>
          <w:b/>
        </w:rPr>
      </w:pPr>
      <w:r>
        <w:rPr>
          <w:rFonts w:ascii="Century Gothic" w:eastAsia="Century Gothic" w:hAnsi="Century Gothic" w:cs="Century Gothic"/>
          <w:b/>
        </w:rPr>
        <w:t>V</w:t>
      </w:r>
      <w:r w:rsidR="00157888">
        <w:rPr>
          <w:rFonts w:ascii="Century Gothic" w:eastAsia="Century Gothic" w:hAnsi="Century Gothic" w:cs="Century Gothic"/>
          <w:b/>
        </w:rPr>
        <w:t>I</w:t>
      </w:r>
      <w:r>
        <w:rPr>
          <w:rFonts w:ascii="Century Gothic" w:eastAsia="Century Gothic" w:hAnsi="Century Gothic" w:cs="Century Gothic"/>
          <w:b/>
        </w:rPr>
        <w:t>. PROPOSICIÓN</w:t>
      </w:r>
    </w:p>
    <w:p w:rsidR="000B7BB1" w:rsidRDefault="00DF4B03">
      <w:pPr>
        <w:spacing w:after="160" w:line="256" w:lineRule="auto"/>
        <w:jc w:val="both"/>
        <w:rPr>
          <w:rFonts w:ascii="Century Gothic" w:eastAsia="Century Gothic" w:hAnsi="Century Gothic" w:cs="Century Gothic"/>
          <w:i/>
        </w:rPr>
      </w:pPr>
      <w:r>
        <w:rPr>
          <w:rFonts w:ascii="Century Gothic" w:eastAsia="Century Gothic" w:hAnsi="Century Gothic" w:cs="Century Gothic"/>
        </w:rPr>
        <w:t xml:space="preserve">De conformidad con las anteriores consideraciones y en cumplimiento de los requisitos establecidos en la Ley 5ª de 1992, presento ponencia favorable y en consecuencia le solicito a los miembros de la Comisión Primera de la Honorable Cámara de Representantes, </w:t>
      </w:r>
      <w:r w:rsidR="00157888">
        <w:rPr>
          <w:rFonts w:ascii="Century Gothic" w:eastAsia="Century Gothic" w:hAnsi="Century Gothic" w:cs="Century Gothic"/>
        </w:rPr>
        <w:t xml:space="preserve">tener en cuenta las modificaciones y </w:t>
      </w:r>
      <w:r>
        <w:rPr>
          <w:rFonts w:ascii="Century Gothic" w:eastAsia="Century Gothic" w:hAnsi="Century Gothic" w:cs="Century Gothic"/>
        </w:rPr>
        <w:t xml:space="preserve">dar primer debate al Proyecto de Acto Legislativo número 242 de 2019 Cámara, </w:t>
      </w:r>
      <w:r>
        <w:rPr>
          <w:rFonts w:ascii="Century Gothic" w:eastAsia="Century Gothic" w:hAnsi="Century Gothic" w:cs="Century Gothic"/>
          <w:i/>
        </w:rPr>
        <w:t>“por el cual se modifican los artículos 328 y 356 de la constitución política otorgándole la categoría de Distrito Turístico, Cultural e Histórico al municipio de Puerto Colombia en el Departamento del Atlántico.”</w:t>
      </w:r>
    </w:p>
    <w:p w:rsidR="000B7BB1" w:rsidRDefault="000B7BB1">
      <w:pPr>
        <w:spacing w:after="160" w:line="256" w:lineRule="auto"/>
        <w:jc w:val="both"/>
        <w:rPr>
          <w:rFonts w:ascii="Century Gothic" w:eastAsia="Century Gothic" w:hAnsi="Century Gothic" w:cs="Century Gothic"/>
          <w:i/>
          <w:sz w:val="22"/>
          <w:szCs w:val="22"/>
        </w:rPr>
      </w:pPr>
    </w:p>
    <w:p w:rsidR="000B7BB1" w:rsidRDefault="00DF4B03">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De</w:t>
      </w:r>
      <w:r w:rsidR="00302A33">
        <w:rPr>
          <w:rFonts w:ascii="Century Gothic" w:eastAsia="Century Gothic" w:hAnsi="Century Gothic" w:cs="Century Gothic"/>
          <w:color w:val="000000"/>
        </w:rPr>
        <w:t>l Honorable Representante</w:t>
      </w:r>
      <w:r>
        <w:rPr>
          <w:rFonts w:ascii="Century Gothic" w:eastAsia="Century Gothic" w:hAnsi="Century Gothic" w:cs="Century Gothic"/>
          <w:color w:val="000000"/>
        </w:rPr>
        <w:t>:</w:t>
      </w:r>
    </w:p>
    <w:tbl>
      <w:tblPr>
        <w:tblStyle w:val="a5"/>
        <w:tblW w:w="88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15"/>
        <w:gridCol w:w="4340"/>
      </w:tblGrid>
      <w:tr w:rsidR="000B7BB1">
        <w:trPr>
          <w:trHeight w:val="2180"/>
        </w:trPr>
        <w:tc>
          <w:tcPr>
            <w:tcW w:w="4515" w:type="dxa"/>
          </w:tcPr>
          <w:p w:rsidR="000B7BB1" w:rsidRDefault="000B7BB1">
            <w:pPr>
              <w:jc w:val="both"/>
              <w:rPr>
                <w:rFonts w:ascii="Century Gothic" w:eastAsia="Century Gothic" w:hAnsi="Century Gothic" w:cs="Century Gothic"/>
                <w:b/>
              </w:rPr>
            </w:pPr>
          </w:p>
          <w:p w:rsidR="000B7BB1" w:rsidRDefault="000B7BB1">
            <w:pPr>
              <w:jc w:val="both"/>
              <w:rPr>
                <w:rFonts w:ascii="Century Gothic" w:eastAsia="Century Gothic" w:hAnsi="Century Gothic" w:cs="Century Gothic"/>
                <w:b/>
              </w:rPr>
            </w:pPr>
          </w:p>
          <w:p w:rsidR="000B7BB1" w:rsidRDefault="000B7BB1">
            <w:pPr>
              <w:jc w:val="both"/>
              <w:rPr>
                <w:rFonts w:ascii="Century Gothic" w:eastAsia="Century Gothic" w:hAnsi="Century Gothic" w:cs="Century Gothic"/>
                <w:b/>
              </w:rPr>
            </w:pPr>
          </w:p>
          <w:p w:rsidR="000B7BB1" w:rsidRDefault="000B7BB1">
            <w:pPr>
              <w:jc w:val="both"/>
              <w:rPr>
                <w:rFonts w:ascii="Century Gothic" w:eastAsia="Century Gothic" w:hAnsi="Century Gothic" w:cs="Century Gothic"/>
                <w:b/>
              </w:rPr>
            </w:pPr>
          </w:p>
          <w:p w:rsidR="000B7BB1" w:rsidRDefault="000B7BB1">
            <w:pPr>
              <w:jc w:val="both"/>
              <w:rPr>
                <w:rFonts w:ascii="Century Gothic" w:eastAsia="Century Gothic" w:hAnsi="Century Gothic" w:cs="Century Gothic"/>
                <w:b/>
              </w:rPr>
            </w:pPr>
          </w:p>
          <w:p w:rsidR="000B7BB1" w:rsidRDefault="000B7BB1">
            <w:pPr>
              <w:jc w:val="both"/>
              <w:rPr>
                <w:rFonts w:ascii="Century Gothic" w:eastAsia="Century Gothic" w:hAnsi="Century Gothic" w:cs="Century Gothic"/>
                <w:b/>
              </w:rPr>
            </w:pPr>
          </w:p>
          <w:p w:rsidR="000B7BB1" w:rsidRDefault="000B7BB1">
            <w:pPr>
              <w:jc w:val="both"/>
              <w:rPr>
                <w:rFonts w:ascii="Century Gothic" w:eastAsia="Century Gothic" w:hAnsi="Century Gothic" w:cs="Century Gothic"/>
                <w:b/>
              </w:rPr>
            </w:pPr>
          </w:p>
          <w:p w:rsidR="000B7BB1" w:rsidRDefault="00DF4B03">
            <w:pPr>
              <w:jc w:val="both"/>
              <w:rPr>
                <w:rFonts w:ascii="Century Gothic" w:eastAsia="Century Gothic" w:hAnsi="Century Gothic" w:cs="Century Gothic"/>
                <w:b/>
              </w:rPr>
            </w:pPr>
            <w:r>
              <w:rPr>
                <w:rFonts w:ascii="Century Gothic" w:eastAsia="Century Gothic" w:hAnsi="Century Gothic" w:cs="Century Gothic"/>
                <w:b/>
              </w:rPr>
              <w:t>JUAN MANUEL DAZA IGUARÁN</w:t>
            </w:r>
          </w:p>
          <w:p w:rsidR="000B7BB1" w:rsidRDefault="00DF4B03">
            <w:pPr>
              <w:jc w:val="both"/>
              <w:rPr>
                <w:rFonts w:ascii="Century Gothic" w:eastAsia="Century Gothic" w:hAnsi="Century Gothic" w:cs="Century Gothic"/>
              </w:rPr>
            </w:pPr>
            <w:r>
              <w:rPr>
                <w:rFonts w:ascii="Century Gothic" w:eastAsia="Century Gothic" w:hAnsi="Century Gothic" w:cs="Century Gothic"/>
              </w:rPr>
              <w:t>Representante a la Cámara</w:t>
            </w:r>
          </w:p>
          <w:p w:rsidR="000B7BB1" w:rsidRDefault="00DF4B03">
            <w:pPr>
              <w:jc w:val="both"/>
              <w:rPr>
                <w:rFonts w:ascii="Century Gothic" w:eastAsia="Century Gothic" w:hAnsi="Century Gothic" w:cs="Century Gothic"/>
              </w:rPr>
            </w:pPr>
            <w:r>
              <w:rPr>
                <w:rFonts w:ascii="Century Gothic" w:eastAsia="Century Gothic" w:hAnsi="Century Gothic" w:cs="Century Gothic"/>
              </w:rPr>
              <w:t>Partido Centro Democrático</w:t>
            </w:r>
          </w:p>
        </w:tc>
        <w:tc>
          <w:tcPr>
            <w:tcW w:w="4340" w:type="dxa"/>
          </w:tcPr>
          <w:p w:rsidR="000B7BB1" w:rsidRDefault="000B7BB1">
            <w:pPr>
              <w:ind w:left="182" w:hanging="182"/>
              <w:jc w:val="both"/>
              <w:rPr>
                <w:rFonts w:ascii="Century Gothic" w:eastAsia="Century Gothic" w:hAnsi="Century Gothic" w:cs="Century Gothic"/>
                <w:b/>
              </w:rPr>
            </w:pPr>
          </w:p>
        </w:tc>
      </w:tr>
    </w:tbl>
    <w:p w:rsidR="000B7BB1" w:rsidRDefault="000B7BB1" w:rsidP="003A694C">
      <w:pPr>
        <w:pBdr>
          <w:top w:val="nil"/>
          <w:left w:val="nil"/>
          <w:bottom w:val="nil"/>
          <w:right w:val="nil"/>
          <w:between w:val="nil"/>
        </w:pBdr>
        <w:spacing w:after="200"/>
        <w:rPr>
          <w:rFonts w:ascii="Century Gothic" w:eastAsia="Century Gothic" w:hAnsi="Century Gothic" w:cs="Century Gothic"/>
          <w:b/>
        </w:rPr>
      </w:pPr>
    </w:p>
    <w:p w:rsidR="000B7BB1" w:rsidRDefault="00DF4B03">
      <w:pPr>
        <w:pBdr>
          <w:top w:val="nil"/>
          <w:left w:val="nil"/>
          <w:bottom w:val="nil"/>
          <w:right w:val="nil"/>
          <w:between w:val="nil"/>
        </w:pBdr>
        <w:spacing w:after="200"/>
        <w:jc w:val="center"/>
        <w:rPr>
          <w:rFonts w:ascii="Century Gothic" w:eastAsia="Century Gothic" w:hAnsi="Century Gothic" w:cs="Century Gothic"/>
          <w:color w:val="000000"/>
        </w:rPr>
      </w:pPr>
      <w:r>
        <w:rPr>
          <w:rFonts w:ascii="Century Gothic" w:eastAsia="Century Gothic" w:hAnsi="Century Gothic" w:cs="Century Gothic"/>
          <w:b/>
          <w:color w:val="000000"/>
        </w:rPr>
        <w:lastRenderedPageBreak/>
        <w:t xml:space="preserve">TEXTO PROPUESTO PARA PRIMER DEBATE PROYECTO DE </w:t>
      </w:r>
      <w:r>
        <w:rPr>
          <w:rFonts w:ascii="Century Gothic" w:eastAsia="Century Gothic" w:hAnsi="Century Gothic" w:cs="Century Gothic"/>
          <w:b/>
        </w:rPr>
        <w:t>ACTO LEGISLATIVO</w:t>
      </w:r>
      <w:r>
        <w:rPr>
          <w:rFonts w:ascii="Century Gothic" w:eastAsia="Century Gothic" w:hAnsi="Century Gothic" w:cs="Century Gothic"/>
          <w:b/>
          <w:color w:val="000000"/>
        </w:rPr>
        <w:t xml:space="preserve"> NÚMERO </w:t>
      </w:r>
      <w:r>
        <w:rPr>
          <w:rFonts w:ascii="Century Gothic" w:eastAsia="Century Gothic" w:hAnsi="Century Gothic" w:cs="Century Gothic"/>
          <w:b/>
        </w:rPr>
        <w:t>242</w:t>
      </w:r>
      <w:r>
        <w:rPr>
          <w:rFonts w:ascii="Century Gothic" w:eastAsia="Century Gothic" w:hAnsi="Century Gothic" w:cs="Century Gothic"/>
          <w:b/>
          <w:color w:val="000000"/>
        </w:rPr>
        <w:t xml:space="preserve"> DE 2019 CÁMARA</w:t>
      </w:r>
    </w:p>
    <w:p w:rsidR="000B7BB1" w:rsidRPr="00543786" w:rsidRDefault="00DF4B03" w:rsidP="00543786">
      <w:pPr>
        <w:spacing w:before="280" w:after="200"/>
        <w:jc w:val="center"/>
        <w:rPr>
          <w:rFonts w:ascii="Century Gothic" w:eastAsia="Century Gothic" w:hAnsi="Century Gothic" w:cs="Century Gothic"/>
          <w:i/>
          <w:color w:val="000000"/>
        </w:rPr>
      </w:pPr>
      <w:r>
        <w:rPr>
          <w:rFonts w:ascii="Century Gothic" w:eastAsia="Century Gothic" w:hAnsi="Century Gothic" w:cs="Century Gothic"/>
          <w:i/>
        </w:rPr>
        <w:t>“Por el cual se modifican los artículos 328 y 356 de la constitución política otorgándole la categoría de Distrito Turístico, Cultural e Histórico al municipio de Puerto Colombia en el Departamento del Atlántico.”</w:t>
      </w:r>
    </w:p>
    <w:p w:rsidR="000B7BB1" w:rsidRDefault="00DF4B03">
      <w:pPr>
        <w:pBdr>
          <w:top w:val="nil"/>
          <w:left w:val="nil"/>
          <w:bottom w:val="nil"/>
          <w:right w:val="nil"/>
          <w:between w:val="nil"/>
        </w:pBdr>
        <w:spacing w:after="200"/>
        <w:jc w:val="center"/>
        <w:rPr>
          <w:rFonts w:ascii="Century Gothic" w:eastAsia="Century Gothic" w:hAnsi="Century Gothic" w:cs="Century Gothic"/>
          <w:b/>
          <w:color w:val="000000"/>
        </w:rPr>
      </w:pPr>
      <w:r>
        <w:rPr>
          <w:rFonts w:ascii="Century Gothic" w:eastAsia="Century Gothic" w:hAnsi="Century Gothic" w:cs="Century Gothic"/>
          <w:b/>
          <w:color w:val="000000"/>
        </w:rPr>
        <w:t>El Congreso de Colombia</w:t>
      </w:r>
    </w:p>
    <w:p w:rsidR="000B7BB1" w:rsidRDefault="00DF4B03">
      <w:pPr>
        <w:pBdr>
          <w:top w:val="nil"/>
          <w:left w:val="nil"/>
          <w:bottom w:val="nil"/>
          <w:right w:val="nil"/>
          <w:between w:val="nil"/>
        </w:pBdr>
        <w:spacing w:after="200"/>
        <w:jc w:val="center"/>
        <w:rPr>
          <w:rFonts w:ascii="Century Gothic" w:eastAsia="Century Gothic" w:hAnsi="Century Gothic" w:cs="Century Gothic"/>
          <w:b/>
        </w:rPr>
      </w:pPr>
      <w:r>
        <w:rPr>
          <w:rFonts w:ascii="Century Gothic" w:eastAsia="Century Gothic" w:hAnsi="Century Gothic" w:cs="Century Gothic"/>
          <w:b/>
        </w:rPr>
        <w:t xml:space="preserve">Decreta: </w:t>
      </w:r>
    </w:p>
    <w:p w:rsidR="00302A33" w:rsidRPr="00302A33" w:rsidRDefault="00302A33" w:rsidP="00302A33">
      <w:pPr>
        <w:jc w:val="both"/>
        <w:rPr>
          <w:rFonts w:ascii="Century Gothic" w:eastAsia="Century Gothic" w:hAnsi="Century Gothic" w:cs="Century Gothic"/>
        </w:rPr>
      </w:pPr>
      <w:r w:rsidRPr="00302A33">
        <w:rPr>
          <w:rFonts w:ascii="Century Gothic" w:eastAsia="Century Gothic" w:hAnsi="Century Gothic" w:cs="Century Gothic"/>
          <w:b/>
        </w:rPr>
        <w:t xml:space="preserve">Artículo 1º. </w:t>
      </w:r>
      <w:r w:rsidRPr="00302A33">
        <w:rPr>
          <w:rFonts w:ascii="Century Gothic" w:eastAsia="Century Gothic" w:hAnsi="Century Gothic" w:cs="Century Gothic"/>
        </w:rPr>
        <w:t xml:space="preserve"> Modifíquese el artículo 328 de la Constitución Política, el cual quedará de la siguiente manera:</w:t>
      </w:r>
    </w:p>
    <w:p w:rsidR="00302A33" w:rsidRPr="00302A33" w:rsidRDefault="00302A33" w:rsidP="00302A33">
      <w:pPr>
        <w:jc w:val="both"/>
        <w:rPr>
          <w:rFonts w:ascii="Century Gothic" w:eastAsia="Century Gothic" w:hAnsi="Century Gothic" w:cs="Century Gothic"/>
        </w:rPr>
      </w:pPr>
    </w:p>
    <w:p w:rsidR="00302A33" w:rsidRPr="00302A33" w:rsidRDefault="00302A33" w:rsidP="00302A33">
      <w:pPr>
        <w:jc w:val="both"/>
        <w:rPr>
          <w:rFonts w:ascii="Century Gothic" w:eastAsia="Century Gothic" w:hAnsi="Century Gothic" w:cs="Century Gothic"/>
        </w:rPr>
      </w:pPr>
      <w:r w:rsidRPr="00302A33">
        <w:rPr>
          <w:rFonts w:ascii="Century Gothic" w:eastAsia="Century Gothic" w:hAnsi="Century Gothic" w:cs="Century Gothic"/>
        </w:rPr>
        <w:t xml:space="preserve">El Distrito Turístico y Cultural de Cartagena de Indias, el Distrito Turístico, Cultural e Histórico de Santa Marta, </w:t>
      </w:r>
      <w:r w:rsidRPr="00302A33">
        <w:rPr>
          <w:rFonts w:ascii="Century Gothic" w:eastAsia="Century Gothic" w:hAnsi="Century Gothic" w:cs="Century Gothic"/>
          <w:b/>
        </w:rPr>
        <w:t>Puerto Colombia</w:t>
      </w:r>
      <w:r w:rsidRPr="00302A33">
        <w:rPr>
          <w:rFonts w:ascii="Century Gothic" w:eastAsia="Century Gothic" w:hAnsi="Century Gothic" w:cs="Century Gothic"/>
        </w:rPr>
        <w:t xml:space="preserve"> y Barranquilla conservarán su régimen y carácter, y se organiza a Buenaventura y Tumaco como Distrito Especial, Industrial, Portuario, Biodiverso y Ecoturístico. </w:t>
      </w:r>
    </w:p>
    <w:p w:rsidR="000B7BB1" w:rsidRDefault="00DF4B03" w:rsidP="00302A33">
      <w:pPr>
        <w:jc w:val="both"/>
        <w:rPr>
          <w:rFonts w:ascii="Century Gothic" w:eastAsia="Century Gothic" w:hAnsi="Century Gothic" w:cs="Century Gothic"/>
        </w:rPr>
      </w:pPr>
      <w:r>
        <w:rPr>
          <w:rFonts w:ascii="Century Gothic" w:eastAsia="Century Gothic" w:hAnsi="Century Gothic" w:cs="Century Gothic"/>
        </w:rPr>
        <w:t xml:space="preserve"> </w:t>
      </w:r>
    </w:p>
    <w:p w:rsidR="00302A33" w:rsidRDefault="00302A33" w:rsidP="00302A33">
      <w:pPr>
        <w:jc w:val="both"/>
        <w:rPr>
          <w:rFonts w:ascii="Century Gothic" w:eastAsia="Century Gothic" w:hAnsi="Century Gothic" w:cs="Century Gothic"/>
        </w:rPr>
      </w:pPr>
      <w:r>
        <w:rPr>
          <w:rFonts w:ascii="Century Gothic" w:eastAsia="Century Gothic" w:hAnsi="Century Gothic" w:cs="Century Gothic"/>
          <w:b/>
        </w:rPr>
        <w:t xml:space="preserve">Artículo 2.  </w:t>
      </w:r>
      <w:r>
        <w:rPr>
          <w:rFonts w:ascii="Century Gothic" w:eastAsia="Century Gothic" w:hAnsi="Century Gothic" w:cs="Century Gothic"/>
        </w:rPr>
        <w:t>Modifíquese el siguiente inciso del artículo 356 de la Constitución Política, el cual quedará de la siguiente manera:</w:t>
      </w:r>
    </w:p>
    <w:p w:rsidR="00302A33" w:rsidRDefault="00302A33" w:rsidP="00302A33">
      <w:pPr>
        <w:jc w:val="both"/>
        <w:rPr>
          <w:rFonts w:ascii="Century Gothic" w:eastAsia="Century Gothic" w:hAnsi="Century Gothic" w:cs="Century Gothic"/>
        </w:rPr>
      </w:pPr>
      <w:r>
        <w:rPr>
          <w:rFonts w:ascii="Century Gothic" w:eastAsia="Century Gothic" w:hAnsi="Century Gothic" w:cs="Century Gothic"/>
        </w:rPr>
        <w:t xml:space="preserve"> </w:t>
      </w:r>
    </w:p>
    <w:p w:rsidR="00302A33" w:rsidRDefault="00302A33" w:rsidP="00302A33">
      <w:pPr>
        <w:jc w:val="both"/>
        <w:rPr>
          <w:rFonts w:ascii="Century Gothic" w:eastAsia="Century Gothic" w:hAnsi="Century Gothic" w:cs="Century Gothic"/>
        </w:rPr>
      </w:pPr>
      <w:r>
        <w:rPr>
          <w:rFonts w:ascii="Century Gothic" w:eastAsia="Century Gothic" w:hAnsi="Century Gothic" w:cs="Century Gothic"/>
        </w:rPr>
        <w:t xml:space="preserve">Las ciudades de Buenaventura y Tumaco se organizan como Distrito Especiales, Industriales, Portuarios, Biodiversos y Ecoturísticos. </w:t>
      </w:r>
      <w:r w:rsidRPr="00302A33">
        <w:rPr>
          <w:rFonts w:ascii="Century Gothic" w:eastAsia="Century Gothic" w:hAnsi="Century Gothic" w:cs="Century Gothic"/>
          <w:b/>
        </w:rPr>
        <w:t>El municipio de Puerto Colombia se organiza como Distrito Turístico, Cultural e Histórico.</w:t>
      </w:r>
      <w:r>
        <w:rPr>
          <w:rFonts w:ascii="Century Gothic" w:eastAsia="Century Gothic" w:hAnsi="Century Gothic" w:cs="Century Gothic"/>
        </w:rPr>
        <w:t xml:space="preserve"> </w:t>
      </w:r>
      <w:r w:rsidRPr="00302A33">
        <w:rPr>
          <w:rFonts w:ascii="Century Gothic" w:eastAsia="Century Gothic" w:hAnsi="Century Gothic" w:cs="Century Gothic"/>
        </w:rPr>
        <w:t>Su régimen político, fiscal y administrativo serán los que determinen la Constitución y las leyes especiales que se dicten sobre la materia, y en lo no dispuesto en ellas, serán las normas vigentes para los municipios.</w:t>
      </w:r>
    </w:p>
    <w:p w:rsidR="000B7BB1" w:rsidRDefault="00DF4B03">
      <w:pPr>
        <w:jc w:val="both"/>
        <w:rPr>
          <w:rFonts w:ascii="Arial" w:eastAsia="Arial" w:hAnsi="Arial" w:cs="Arial"/>
          <w:b/>
        </w:rPr>
      </w:pPr>
      <w:r>
        <w:rPr>
          <w:rFonts w:ascii="Century Gothic" w:eastAsia="Century Gothic" w:hAnsi="Century Gothic" w:cs="Century Gothic"/>
        </w:rPr>
        <w:t xml:space="preserve"> </w:t>
      </w:r>
    </w:p>
    <w:p w:rsidR="000B7BB1" w:rsidRDefault="00DF4B03">
      <w:pPr>
        <w:jc w:val="both"/>
        <w:rPr>
          <w:rFonts w:ascii="Arial" w:eastAsia="Arial" w:hAnsi="Arial" w:cs="Arial"/>
          <w:b/>
        </w:rPr>
      </w:pPr>
      <w:r>
        <w:rPr>
          <w:rFonts w:ascii="Century Gothic" w:eastAsia="Century Gothic" w:hAnsi="Century Gothic" w:cs="Century Gothic"/>
          <w:b/>
        </w:rPr>
        <w:t xml:space="preserve">Artículo 3º.  </w:t>
      </w:r>
      <w:r>
        <w:rPr>
          <w:rFonts w:ascii="Century Gothic" w:eastAsia="Century Gothic" w:hAnsi="Century Gothic" w:cs="Century Gothic"/>
        </w:rPr>
        <w:t>El presente Acto Legislativo rige a partir de su promulgación.</w:t>
      </w:r>
    </w:p>
    <w:p w:rsidR="000B7BB1" w:rsidRDefault="000B7BB1">
      <w:pPr>
        <w:pBdr>
          <w:top w:val="nil"/>
          <w:left w:val="nil"/>
          <w:bottom w:val="nil"/>
          <w:right w:val="nil"/>
          <w:between w:val="nil"/>
        </w:pBdr>
        <w:spacing w:after="200"/>
        <w:jc w:val="both"/>
        <w:rPr>
          <w:rFonts w:ascii="Century Gothic" w:eastAsia="Century Gothic" w:hAnsi="Century Gothic" w:cs="Century Gothic"/>
          <w:b/>
        </w:rPr>
      </w:pPr>
    </w:p>
    <w:p w:rsidR="000B7BB1" w:rsidRDefault="00302A33">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Del Honorable Representante</w:t>
      </w:r>
      <w:r w:rsidR="00DF4B03">
        <w:rPr>
          <w:rFonts w:ascii="Century Gothic" w:eastAsia="Century Gothic" w:hAnsi="Century Gothic" w:cs="Century Gothic"/>
          <w:color w:val="000000"/>
        </w:rPr>
        <w:t>:</w:t>
      </w:r>
    </w:p>
    <w:tbl>
      <w:tblPr>
        <w:tblStyle w:val="a6"/>
        <w:tblW w:w="44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28"/>
      </w:tblGrid>
      <w:tr w:rsidR="000B7BB1">
        <w:tc>
          <w:tcPr>
            <w:tcW w:w="4428" w:type="dxa"/>
          </w:tcPr>
          <w:p w:rsidR="000B7BB1" w:rsidRDefault="000B7BB1">
            <w:pPr>
              <w:jc w:val="both"/>
              <w:rPr>
                <w:rFonts w:ascii="Century Gothic" w:eastAsia="Century Gothic" w:hAnsi="Century Gothic" w:cs="Century Gothic"/>
                <w:b/>
              </w:rPr>
            </w:pPr>
          </w:p>
          <w:p w:rsidR="003A694C" w:rsidRDefault="003A694C">
            <w:pPr>
              <w:jc w:val="both"/>
              <w:rPr>
                <w:rFonts w:ascii="Century Gothic" w:eastAsia="Century Gothic" w:hAnsi="Century Gothic" w:cs="Century Gothic"/>
                <w:b/>
              </w:rPr>
            </w:pPr>
          </w:p>
          <w:p w:rsidR="000B7BB1" w:rsidRDefault="00DF4B03">
            <w:pPr>
              <w:jc w:val="both"/>
              <w:rPr>
                <w:rFonts w:ascii="Century Gothic" w:eastAsia="Century Gothic" w:hAnsi="Century Gothic" w:cs="Century Gothic"/>
                <w:b/>
              </w:rPr>
            </w:pPr>
            <w:r>
              <w:rPr>
                <w:rFonts w:ascii="Century Gothic" w:eastAsia="Century Gothic" w:hAnsi="Century Gothic" w:cs="Century Gothic"/>
                <w:b/>
              </w:rPr>
              <w:t>JUAN MANUEL DAZA IGUARÁN</w:t>
            </w:r>
          </w:p>
          <w:p w:rsidR="000B7BB1" w:rsidRDefault="00DF4B03">
            <w:pPr>
              <w:jc w:val="both"/>
              <w:rPr>
                <w:rFonts w:ascii="Century Gothic" w:eastAsia="Century Gothic" w:hAnsi="Century Gothic" w:cs="Century Gothic"/>
              </w:rPr>
            </w:pPr>
            <w:r>
              <w:rPr>
                <w:rFonts w:ascii="Century Gothic" w:eastAsia="Century Gothic" w:hAnsi="Century Gothic" w:cs="Century Gothic"/>
              </w:rPr>
              <w:t>Representante a la Cámara</w:t>
            </w:r>
          </w:p>
          <w:p w:rsidR="000B7BB1" w:rsidRDefault="00DF4B03">
            <w:pPr>
              <w:jc w:val="both"/>
              <w:rPr>
                <w:rFonts w:ascii="Century Gothic" w:eastAsia="Century Gothic" w:hAnsi="Century Gothic" w:cs="Century Gothic"/>
              </w:rPr>
            </w:pPr>
            <w:r>
              <w:rPr>
                <w:rFonts w:ascii="Century Gothic" w:eastAsia="Century Gothic" w:hAnsi="Century Gothic" w:cs="Century Gothic"/>
              </w:rPr>
              <w:t>Partido Centro Democrático</w:t>
            </w:r>
          </w:p>
        </w:tc>
      </w:tr>
    </w:tbl>
    <w:p w:rsidR="000B7BB1" w:rsidRDefault="000B7BB1">
      <w:pPr>
        <w:pBdr>
          <w:top w:val="nil"/>
          <w:left w:val="nil"/>
          <w:bottom w:val="nil"/>
          <w:right w:val="nil"/>
          <w:between w:val="nil"/>
        </w:pBdr>
        <w:spacing w:after="200"/>
        <w:jc w:val="both"/>
        <w:rPr>
          <w:rFonts w:ascii="Century Gothic" w:eastAsia="Century Gothic" w:hAnsi="Century Gothic" w:cs="Century Gothic"/>
          <w:color w:val="000000"/>
        </w:rPr>
      </w:pPr>
    </w:p>
    <w:sectPr w:rsidR="000B7BB1" w:rsidSect="00C020C0">
      <w:headerReference w:type="default" r:id="rId9"/>
      <w:footerReference w:type="default" r:id="rId10"/>
      <w:pgSz w:w="12240" w:h="15840"/>
      <w:pgMar w:top="1417" w:right="1701" w:bottom="1417"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B03" w:rsidRDefault="00DF4B03">
      <w:r>
        <w:separator/>
      </w:r>
    </w:p>
  </w:endnote>
  <w:endnote w:type="continuationSeparator" w:id="0">
    <w:p w:rsidR="00DF4B03" w:rsidRDefault="00DF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86" w:rsidRPr="00543786" w:rsidRDefault="00543786" w:rsidP="00543786">
    <w:pPr>
      <w:tabs>
        <w:tab w:val="center" w:pos="4419"/>
        <w:tab w:val="right" w:pos="8838"/>
      </w:tabs>
      <w:jc w:val="center"/>
      <w:rPr>
        <w:rFonts w:ascii="Century Gothic" w:eastAsia="Calibri" w:hAnsi="Century Gothic"/>
        <w:sz w:val="18"/>
        <w:szCs w:val="18"/>
        <w:lang w:eastAsia="en-US"/>
      </w:rPr>
    </w:pPr>
    <w:r w:rsidRPr="00543786">
      <w:rPr>
        <w:rFonts w:ascii="Calibri" w:eastAsia="Calibri" w:hAnsi="Calibri"/>
        <w:noProof/>
        <w:sz w:val="16"/>
        <w:szCs w:val="16"/>
      </w:rPr>
      <w:drawing>
        <wp:inline distT="0" distB="0" distL="0" distR="0" wp14:anchorId="26E6AC56" wp14:editId="7A6E1ABB">
          <wp:extent cx="3117850" cy="2667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rsidR="00543786" w:rsidRPr="00543786" w:rsidRDefault="00543786" w:rsidP="00543786">
    <w:pPr>
      <w:tabs>
        <w:tab w:val="center" w:pos="4419"/>
        <w:tab w:val="right" w:pos="8838"/>
      </w:tabs>
      <w:jc w:val="center"/>
      <w:rPr>
        <w:rFonts w:ascii="Century Gothic" w:eastAsia="Calibri" w:hAnsi="Century Gothic"/>
        <w:sz w:val="18"/>
        <w:szCs w:val="18"/>
        <w:lang w:eastAsia="en-US"/>
      </w:rPr>
    </w:pPr>
    <w:r w:rsidRPr="00543786">
      <w:rPr>
        <w:rFonts w:ascii="Century Gothic" w:eastAsia="Calibri" w:hAnsi="Century Gothic"/>
        <w:sz w:val="18"/>
        <w:szCs w:val="18"/>
        <w:lang w:eastAsia="en-US"/>
      </w:rPr>
      <w:t xml:space="preserve">Edificio Nuevo del Congreso de la República. </w:t>
    </w:r>
  </w:p>
  <w:p w:rsidR="00543786" w:rsidRPr="00543786" w:rsidRDefault="00543786" w:rsidP="00543786">
    <w:pPr>
      <w:tabs>
        <w:tab w:val="center" w:pos="4419"/>
        <w:tab w:val="right" w:pos="8838"/>
      </w:tabs>
      <w:jc w:val="center"/>
      <w:rPr>
        <w:rFonts w:ascii="Century Gothic" w:eastAsia="Calibri" w:hAnsi="Century Gothic"/>
        <w:sz w:val="18"/>
        <w:szCs w:val="18"/>
        <w:lang w:eastAsia="en-US"/>
      </w:rPr>
    </w:pPr>
    <w:r w:rsidRPr="00543786">
      <w:rPr>
        <w:rFonts w:ascii="Century Gothic" w:eastAsia="Calibri" w:hAnsi="Century Gothic"/>
        <w:sz w:val="18"/>
        <w:szCs w:val="18"/>
        <w:lang w:eastAsia="en-US"/>
      </w:rPr>
      <w:t>Carrera 7 # 8 -68 Bogotá D.C – Oficina 417B y 418B – Casillero 77 – Teléfono 4325100 Ext: 3642</w:t>
    </w:r>
  </w:p>
  <w:p w:rsidR="00543786" w:rsidRPr="00543786" w:rsidRDefault="00EF1D19" w:rsidP="00543786">
    <w:pPr>
      <w:tabs>
        <w:tab w:val="center" w:pos="4419"/>
        <w:tab w:val="right" w:pos="8838"/>
      </w:tabs>
      <w:jc w:val="center"/>
      <w:rPr>
        <w:rFonts w:ascii="Calibri" w:eastAsia="Calibri" w:hAnsi="Calibri"/>
        <w:sz w:val="18"/>
        <w:szCs w:val="18"/>
        <w:lang w:eastAsia="en-US"/>
      </w:rPr>
    </w:pPr>
    <w:hyperlink r:id="rId2" w:history="1">
      <w:r w:rsidR="00543786" w:rsidRPr="00543786">
        <w:rPr>
          <w:rFonts w:ascii="Century Gothic" w:eastAsia="Calibri" w:hAnsi="Century Gothic"/>
          <w:color w:val="0563C1"/>
          <w:sz w:val="18"/>
          <w:szCs w:val="18"/>
          <w:u w:val="single"/>
          <w:lang w:eastAsia="en-US"/>
        </w:rPr>
        <w:t>juanm.daza@camara.gov.co</w:t>
      </w:r>
    </w:hyperlink>
  </w:p>
  <w:p w:rsidR="00543786" w:rsidRDefault="0054378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B03" w:rsidRDefault="00DF4B03">
      <w:r>
        <w:separator/>
      </w:r>
    </w:p>
  </w:footnote>
  <w:footnote w:type="continuationSeparator" w:id="0">
    <w:p w:rsidR="00DF4B03" w:rsidRDefault="00DF4B03">
      <w:r>
        <w:continuationSeparator/>
      </w:r>
    </w:p>
  </w:footnote>
  <w:footnote w:id="1">
    <w:p w:rsidR="003A694C" w:rsidRDefault="003A694C">
      <w:pPr>
        <w:pStyle w:val="Textonotapie"/>
      </w:pPr>
      <w:r>
        <w:rPr>
          <w:rStyle w:val="Refdenotaalpie"/>
        </w:rPr>
        <w:footnoteRef/>
      </w:r>
      <w:r>
        <w:t xml:space="preserve"> </w:t>
      </w:r>
      <w:r w:rsidRPr="003A694C">
        <w:t>“E</w:t>
      </w:r>
      <w:r w:rsidRPr="003A694C">
        <w:rPr>
          <w:i/>
        </w:rPr>
        <w:t xml:space="preserve">l ferrocarril de bolívar y la consolidación del puerto de barranquilla (1865-1941)”. </w:t>
      </w:r>
      <w:r w:rsidRPr="003A694C">
        <w:t>Revista de Economía Institucional, vol. 14, n.º 26, primer semestre/2012, pp. 241-266.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86" w:rsidRDefault="00543786" w:rsidP="00543786">
    <w:pPr>
      <w:jc w:val="center"/>
      <w:rPr>
        <w:lang w:eastAsia="es-ES_tradnl"/>
      </w:rPr>
    </w:pPr>
    <w:r w:rsidRPr="00EE436C">
      <w:rPr>
        <w:lang w:eastAsia="es-ES_tradnl"/>
      </w:rPr>
      <w:fldChar w:fldCharType="begin"/>
    </w:r>
    <w:r>
      <w:rPr>
        <w:lang w:eastAsia="es-ES_tradnl"/>
      </w:rPr>
      <w:instrText xml:space="preserve"> INCLUDEPICTURE "C:\\var\\folders\\ww\\q10z_x1x09q9sc712tkyjjsc0000gn\\T\\com.microsoft.Word\\WebArchiveCopyPasteTempFiles\\Logo Congreso.jpg" \* MERGEFORMAT </w:instrText>
    </w:r>
    <w:r w:rsidRPr="00EE436C">
      <w:rPr>
        <w:lang w:eastAsia="es-ES_tradnl"/>
      </w:rPr>
      <w:fldChar w:fldCharType="separate"/>
    </w:r>
    <w:r w:rsidRPr="00EE436C">
      <w:rPr>
        <w:noProof/>
      </w:rPr>
      <w:drawing>
        <wp:inline distT="0" distB="0" distL="0" distR="0" wp14:anchorId="34B70C1F" wp14:editId="6D58C119">
          <wp:extent cx="2028092" cy="742808"/>
          <wp:effectExtent l="0" t="0" r="4445" b="0"/>
          <wp:docPr id="1" name="Imagen 1" descr="Resultado de imagen para congreso de la republ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greso de la republic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63" cy="785393"/>
                  </a:xfrm>
                  <a:prstGeom prst="rect">
                    <a:avLst/>
                  </a:prstGeom>
                  <a:noFill/>
                  <a:ln>
                    <a:noFill/>
                  </a:ln>
                </pic:spPr>
              </pic:pic>
            </a:graphicData>
          </a:graphic>
        </wp:inline>
      </w:drawing>
    </w:r>
    <w:r w:rsidRPr="00EE436C">
      <w:rPr>
        <w:lang w:eastAsia="es-ES_tradnl"/>
      </w:rPr>
      <w:fldChar w:fldCharType="end"/>
    </w:r>
  </w:p>
  <w:p w:rsidR="00543786" w:rsidRPr="00360D6F" w:rsidRDefault="00543786" w:rsidP="00543786">
    <w:pPr>
      <w:jc w:val="center"/>
      <w:rPr>
        <w:rFonts w:ascii="Century Schoolbook" w:hAnsi="Century Schoolbook"/>
        <w:b/>
        <w:lang w:eastAsia="es-ES_tradnl"/>
      </w:rPr>
    </w:pPr>
    <w:r w:rsidRPr="00360D6F">
      <w:rPr>
        <w:rFonts w:ascii="Century Schoolbook" w:hAnsi="Century Schoolbook"/>
        <w:b/>
        <w:lang w:eastAsia="es-ES_tradnl"/>
      </w:rPr>
      <w:t>Honorable Representante por Bogotá D.C.</w:t>
    </w:r>
  </w:p>
  <w:p w:rsidR="00543786" w:rsidRPr="00360D6F" w:rsidRDefault="00543786" w:rsidP="00543786">
    <w:pPr>
      <w:jc w:val="center"/>
      <w:rPr>
        <w:rFonts w:ascii="Century Schoolbook" w:hAnsi="Century Schoolbook"/>
        <w:b/>
        <w:lang w:eastAsia="es-ES_tradnl"/>
      </w:rPr>
    </w:pPr>
    <w:r w:rsidRPr="00662F82">
      <w:rPr>
        <w:rFonts w:ascii="Century Schoolbook" w:hAnsi="Century Schoolbook"/>
        <w:b/>
        <w:lang w:eastAsia="es-ES_tradnl"/>
      </w:rPr>
      <w:t>JUAN MANUEL DAZA IGUARÁN</w:t>
    </w:r>
  </w:p>
  <w:p w:rsidR="00543786" w:rsidRPr="00543786" w:rsidRDefault="00543786" w:rsidP="005437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404E"/>
    <w:multiLevelType w:val="multilevel"/>
    <w:tmpl w:val="DD4A182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2F036C"/>
    <w:multiLevelType w:val="multilevel"/>
    <w:tmpl w:val="D25A4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471C5A"/>
    <w:multiLevelType w:val="multilevel"/>
    <w:tmpl w:val="DD4A182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B1"/>
    <w:rsid w:val="00083446"/>
    <w:rsid w:val="000B7BB1"/>
    <w:rsid w:val="00157888"/>
    <w:rsid w:val="00302A33"/>
    <w:rsid w:val="003A694C"/>
    <w:rsid w:val="00410005"/>
    <w:rsid w:val="00543786"/>
    <w:rsid w:val="00C020C0"/>
    <w:rsid w:val="00C60E2C"/>
    <w:rsid w:val="00D872D9"/>
    <w:rsid w:val="00DF4B03"/>
    <w:rsid w:val="00EF1D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7C83"/>
  <w15:docId w15:val="{0793B109-C05E-476A-AC42-83F43DBD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88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BF3E08"/>
    <w:pPr>
      <w:spacing w:before="100" w:beforeAutospacing="1" w:after="100" w:afterAutospacing="1"/>
    </w:pPr>
  </w:style>
  <w:style w:type="paragraph" w:styleId="Textodeglobo">
    <w:name w:val="Balloon Text"/>
    <w:basedOn w:val="Normal"/>
    <w:link w:val="TextodegloboCar"/>
    <w:uiPriority w:val="99"/>
    <w:semiHidden/>
    <w:unhideWhenUsed/>
    <w:rsid w:val="00003624"/>
    <w:rPr>
      <w:rFonts w:eastAsiaTheme="minorHAnsi"/>
      <w:noProof/>
      <w:sz w:val="18"/>
      <w:szCs w:val="18"/>
      <w:lang w:val="es-ES" w:eastAsia="en-US"/>
    </w:rPr>
  </w:style>
  <w:style w:type="character" w:customStyle="1" w:styleId="TextodegloboCar">
    <w:name w:val="Texto de globo Car"/>
    <w:basedOn w:val="Fuentedeprrafopredeter"/>
    <w:link w:val="Textodeglobo"/>
    <w:uiPriority w:val="99"/>
    <w:semiHidden/>
    <w:rsid w:val="00003624"/>
    <w:rPr>
      <w:rFonts w:ascii="Times New Roman" w:hAnsi="Times New Roman" w:cs="Times New Roman"/>
      <w:noProof/>
      <w:sz w:val="18"/>
      <w:szCs w:val="18"/>
      <w:lang w:val="es-ES"/>
    </w:rPr>
  </w:style>
  <w:style w:type="character" w:customStyle="1" w:styleId="apple-converted-space">
    <w:name w:val="apple-converted-space"/>
    <w:basedOn w:val="Fuentedeprrafopredeter"/>
    <w:rsid w:val="00025D12"/>
  </w:style>
  <w:style w:type="table" w:styleId="Tablaconcuadrcula">
    <w:name w:val="Table Grid"/>
    <w:basedOn w:val="Tablanormal"/>
    <w:uiPriority w:val="39"/>
    <w:rsid w:val="00EB4E80"/>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left w:w="108" w:type="dxa"/>
        <w:right w:w="108" w:type="dxa"/>
      </w:tblCellMar>
    </w:tblPr>
  </w:style>
  <w:style w:type="paragraph" w:styleId="Prrafodelista">
    <w:name w:val="List Paragraph"/>
    <w:basedOn w:val="Normal"/>
    <w:uiPriority w:val="34"/>
    <w:qFormat/>
    <w:rsid w:val="00407762"/>
    <w:pPr>
      <w:ind w:left="720"/>
      <w:contextualSpacing/>
    </w:pPr>
  </w:style>
  <w:style w:type="paragraph" w:styleId="Textonotapie">
    <w:name w:val="footnote text"/>
    <w:basedOn w:val="Normal"/>
    <w:link w:val="TextonotapieCar"/>
    <w:uiPriority w:val="99"/>
    <w:semiHidden/>
    <w:unhideWhenUsed/>
    <w:rsid w:val="00BC0C1F"/>
    <w:rPr>
      <w:sz w:val="20"/>
      <w:szCs w:val="20"/>
    </w:rPr>
  </w:style>
  <w:style w:type="character" w:customStyle="1" w:styleId="TextonotapieCar">
    <w:name w:val="Texto nota pie Car"/>
    <w:basedOn w:val="Fuentedeprrafopredeter"/>
    <w:link w:val="Textonotapie"/>
    <w:uiPriority w:val="99"/>
    <w:semiHidden/>
    <w:rsid w:val="00BC0C1F"/>
    <w:rPr>
      <w:sz w:val="20"/>
      <w:szCs w:val="20"/>
    </w:rPr>
  </w:style>
  <w:style w:type="character" w:styleId="Refdenotaalpie">
    <w:name w:val="footnote reference"/>
    <w:basedOn w:val="Fuentedeprrafopredeter"/>
    <w:uiPriority w:val="99"/>
    <w:semiHidden/>
    <w:unhideWhenUsed/>
    <w:rsid w:val="00BC0C1F"/>
    <w:rPr>
      <w:vertAlign w:val="superscript"/>
    </w:rPr>
  </w:style>
  <w:style w:type="character" w:styleId="Hipervnculo">
    <w:name w:val="Hyperlink"/>
    <w:basedOn w:val="Fuentedeprrafopredeter"/>
    <w:uiPriority w:val="99"/>
    <w:unhideWhenUsed/>
    <w:rsid w:val="00BC0C1F"/>
    <w:rPr>
      <w:color w:val="0000FF"/>
      <w:u w:val="single"/>
    </w:rPr>
  </w:style>
  <w:style w:type="character" w:customStyle="1" w:styleId="UnresolvedMention">
    <w:name w:val="Unresolved Mention"/>
    <w:basedOn w:val="Fuentedeprrafopredeter"/>
    <w:uiPriority w:val="99"/>
    <w:semiHidden/>
    <w:unhideWhenUsed/>
    <w:rsid w:val="00BC0C1F"/>
    <w:rPr>
      <w:color w:val="605E5C"/>
      <w:shd w:val="clear" w:color="auto" w:fill="E1DFDD"/>
    </w:rPr>
  </w:style>
  <w:style w:type="table" w:customStyle="1" w:styleId="a5">
    <w:basedOn w:val="TableNormal0"/>
    <w:tblPr>
      <w:tblStyleRowBandSize w:val="1"/>
      <w:tblStyleColBandSize w:val="1"/>
      <w:tblCellMar>
        <w:top w:w="15" w:type="dxa"/>
        <w:left w:w="108" w:type="dxa"/>
        <w:bottom w:w="15" w:type="dxa"/>
        <w:right w:w="108" w:type="dxa"/>
      </w:tblCellMar>
    </w:tblPr>
  </w:style>
  <w:style w:type="table" w:customStyle="1" w:styleId="a6">
    <w:basedOn w:val="TableNormal0"/>
    <w:tblPr>
      <w:tblStyleRowBandSize w:val="1"/>
      <w:tblStyleColBandSize w:val="1"/>
      <w:tblCellMar>
        <w:top w:w="15" w:type="dxa"/>
        <w:left w:w="108" w:type="dxa"/>
        <w:bottom w:w="15" w:type="dxa"/>
        <w:right w:w="108" w:type="dxa"/>
      </w:tblCellMar>
    </w:tblPr>
  </w:style>
  <w:style w:type="paragraph" w:styleId="Encabezado">
    <w:name w:val="header"/>
    <w:basedOn w:val="Normal"/>
    <w:link w:val="EncabezadoCar"/>
    <w:uiPriority w:val="99"/>
    <w:unhideWhenUsed/>
    <w:rsid w:val="00543786"/>
    <w:pPr>
      <w:tabs>
        <w:tab w:val="center" w:pos="4419"/>
        <w:tab w:val="right" w:pos="8838"/>
      </w:tabs>
    </w:pPr>
  </w:style>
  <w:style w:type="character" w:customStyle="1" w:styleId="EncabezadoCar">
    <w:name w:val="Encabezado Car"/>
    <w:basedOn w:val="Fuentedeprrafopredeter"/>
    <w:link w:val="Encabezado"/>
    <w:uiPriority w:val="99"/>
    <w:rsid w:val="00543786"/>
  </w:style>
  <w:style w:type="paragraph" w:styleId="Piedepgina">
    <w:name w:val="footer"/>
    <w:basedOn w:val="Normal"/>
    <w:link w:val="PiedepginaCar"/>
    <w:uiPriority w:val="99"/>
    <w:unhideWhenUsed/>
    <w:rsid w:val="00543786"/>
    <w:pPr>
      <w:tabs>
        <w:tab w:val="center" w:pos="4419"/>
        <w:tab w:val="right" w:pos="8838"/>
      </w:tabs>
    </w:pPr>
  </w:style>
  <w:style w:type="character" w:customStyle="1" w:styleId="PiedepginaCar">
    <w:name w:val="Pie de página Car"/>
    <w:basedOn w:val="Fuentedeprrafopredeter"/>
    <w:link w:val="Piedepgina"/>
    <w:uiPriority w:val="99"/>
    <w:rsid w:val="00543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uanm.daza@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eQmBWBT32fvrA1Fgsu+ZjRF1CA==">AMUW2mXjd1JojEjgXz+N2GXFaX0xOnfP/EP8H3OrNF5cePOrQRnes//YI6nikzoZnwcaQcn1B/syjRqjQAc6Q+Q0/iXlqmdD9fob4UNJwF30nZ19lFUhZ42d8afJqSc42Wx49Ha4cJkq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5B302B-090F-4F90-8567-C5170BEA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4240</Words>
  <Characters>23324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Mateo Lancheros Cañon</dc:creator>
  <cp:lastModifiedBy>Cesar Mateo lancheros Cañon</cp:lastModifiedBy>
  <cp:revision>4</cp:revision>
  <cp:lastPrinted>2019-10-29T17:52:00Z</cp:lastPrinted>
  <dcterms:created xsi:type="dcterms:W3CDTF">2019-10-29T17:47:00Z</dcterms:created>
  <dcterms:modified xsi:type="dcterms:W3CDTF">2019-10-29T18:11:00Z</dcterms:modified>
</cp:coreProperties>
</file>